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A7D" w:rsidRPr="002432E6" w:rsidRDefault="00F94A7D" w:rsidP="00F94A7D">
      <w:pPr>
        <w:jc w:val="center"/>
        <w:rPr>
          <w:bCs/>
          <w:sz w:val="44"/>
          <w:szCs w:val="44"/>
          <w:lang w:val="tr-TR"/>
        </w:rPr>
      </w:pPr>
      <w:r w:rsidRPr="002432E6">
        <w:rPr>
          <w:b/>
          <w:sz w:val="44"/>
          <w:szCs w:val="44"/>
          <w:lang w:val="tr-TR"/>
        </w:rPr>
        <w:t>EFET</w:t>
      </w:r>
    </w:p>
    <w:p w:rsidR="00F94A7D" w:rsidRPr="002432E6" w:rsidRDefault="00F94A7D" w:rsidP="00F94A7D">
      <w:pPr>
        <w:jc w:val="center"/>
        <w:rPr>
          <w:b/>
          <w:bCs/>
          <w:sz w:val="22"/>
          <w:szCs w:val="22"/>
          <w:lang w:val="tr-TR"/>
        </w:rPr>
      </w:pPr>
    </w:p>
    <w:p w:rsidR="00F94A7D" w:rsidRPr="002432E6" w:rsidRDefault="00F94A7D" w:rsidP="00F94A7D">
      <w:pPr>
        <w:jc w:val="center"/>
        <w:rPr>
          <w:b/>
          <w:bCs/>
          <w:sz w:val="36"/>
          <w:szCs w:val="36"/>
          <w:lang w:val="tr-TR"/>
        </w:rPr>
      </w:pPr>
      <w:r w:rsidRPr="002432E6">
        <w:rPr>
          <w:b/>
          <w:bCs/>
          <w:sz w:val="36"/>
          <w:szCs w:val="36"/>
          <w:lang w:val="tr-TR"/>
        </w:rPr>
        <w:t>European Federation of Energy Traders</w:t>
      </w:r>
    </w:p>
    <w:p w:rsidR="00F94A7D" w:rsidRPr="002432E6" w:rsidRDefault="00F94A7D" w:rsidP="00F94A7D">
      <w:pPr>
        <w:jc w:val="center"/>
        <w:rPr>
          <w:bCs/>
          <w:sz w:val="22"/>
          <w:szCs w:val="22"/>
          <w:lang w:val="tr-TR"/>
        </w:rPr>
      </w:pPr>
    </w:p>
    <w:p w:rsidR="00F94A7D" w:rsidRPr="002432E6" w:rsidRDefault="00F94A7D" w:rsidP="00F94A7D">
      <w:pPr>
        <w:jc w:val="center"/>
        <w:rPr>
          <w:b/>
          <w:bCs/>
          <w:sz w:val="28"/>
          <w:szCs w:val="28"/>
          <w:lang w:val="tr-TR"/>
        </w:rPr>
      </w:pPr>
      <w:r w:rsidRPr="002432E6">
        <w:rPr>
          <w:b/>
          <w:bCs/>
          <w:sz w:val="28"/>
          <w:szCs w:val="28"/>
          <w:lang w:val="tr-TR"/>
        </w:rPr>
        <w:t>Annex 2d</w:t>
      </w:r>
    </w:p>
    <w:p w:rsidR="00F94A7D" w:rsidRPr="002432E6" w:rsidRDefault="00F94A7D" w:rsidP="00F94A7D">
      <w:pPr>
        <w:jc w:val="center"/>
        <w:rPr>
          <w:b/>
          <w:bCs/>
          <w:sz w:val="28"/>
          <w:szCs w:val="28"/>
          <w:lang w:val="tr-TR"/>
        </w:rPr>
      </w:pPr>
      <w:r w:rsidRPr="002432E6">
        <w:rPr>
          <w:b/>
          <w:bCs/>
          <w:sz w:val="28"/>
          <w:szCs w:val="28"/>
          <w:lang w:val="tr-TR"/>
        </w:rPr>
        <w:t>to the</w:t>
      </w:r>
    </w:p>
    <w:p w:rsidR="00F94A7D" w:rsidRPr="002432E6" w:rsidRDefault="00F94A7D" w:rsidP="00F94A7D">
      <w:pPr>
        <w:jc w:val="center"/>
        <w:rPr>
          <w:b/>
          <w:bCs/>
          <w:sz w:val="28"/>
          <w:szCs w:val="28"/>
          <w:lang w:val="tr-TR"/>
        </w:rPr>
      </w:pPr>
      <w:r w:rsidRPr="002432E6">
        <w:rPr>
          <w:b/>
          <w:bCs/>
          <w:sz w:val="28"/>
          <w:szCs w:val="28"/>
          <w:lang w:val="tr-TR"/>
        </w:rPr>
        <w:t>General Agreement</w:t>
      </w:r>
    </w:p>
    <w:p w:rsidR="00F94A7D" w:rsidRPr="002432E6" w:rsidRDefault="00F94A7D" w:rsidP="00F94A7D">
      <w:pPr>
        <w:jc w:val="center"/>
        <w:rPr>
          <w:b/>
          <w:bCs/>
          <w:i/>
          <w:iCs/>
          <w:sz w:val="22"/>
          <w:szCs w:val="22"/>
          <w:u w:val="single"/>
          <w:lang w:val="tr-TR"/>
        </w:rPr>
      </w:pPr>
      <w:r w:rsidRPr="002432E6">
        <w:rPr>
          <w:b/>
          <w:bCs/>
          <w:i/>
          <w:iCs/>
          <w:sz w:val="28"/>
          <w:szCs w:val="28"/>
          <w:u w:val="single"/>
          <w:lang w:val="tr-TR"/>
        </w:rPr>
        <w:t>(Put Option)</w:t>
      </w:r>
    </w:p>
    <w:p w:rsidR="00F94A7D" w:rsidRPr="009B7BA2" w:rsidRDefault="00F94A7D" w:rsidP="00F94A7D">
      <w:pPr>
        <w:shd w:val="clear" w:color="auto" w:fill="FFFFFF"/>
        <w:spacing w:before="72"/>
        <w:jc w:val="center"/>
        <w:rPr>
          <w:b/>
          <w:bCs/>
          <w:sz w:val="28"/>
          <w:szCs w:val="28"/>
          <w:u w:val="single"/>
          <w:lang w:val="en-US"/>
        </w:rPr>
      </w:pPr>
      <w:r w:rsidRPr="009B7BA2">
        <w:rPr>
          <w:b/>
          <w:bCs/>
          <w:sz w:val="28"/>
          <w:szCs w:val="28"/>
          <w:u w:val="single"/>
          <w:lang w:val="en-US"/>
        </w:rPr>
        <w:t xml:space="preserve">Individual Contract </w:t>
      </w:r>
    </w:p>
    <w:p w:rsidR="00F94A7D" w:rsidRPr="009B7BA2" w:rsidRDefault="00F94A7D" w:rsidP="00F94A7D">
      <w:pPr>
        <w:shd w:val="clear" w:color="auto" w:fill="FFFFFF"/>
        <w:spacing w:before="72"/>
        <w:jc w:val="center"/>
        <w:rPr>
          <w:b/>
          <w:bCs/>
          <w:sz w:val="28"/>
          <w:szCs w:val="28"/>
          <w:u w:val="single"/>
          <w:lang w:val="en-US"/>
        </w:rPr>
      </w:pPr>
    </w:p>
    <w:p w:rsidR="00F94A7D" w:rsidRPr="00DF0478" w:rsidRDefault="00F94A7D" w:rsidP="00F94A7D">
      <w:pPr>
        <w:shd w:val="clear" w:color="auto" w:fill="FFFFFF"/>
        <w:rPr>
          <w:b/>
          <w:bCs/>
          <w:lang w:val="tr-TR"/>
        </w:rPr>
      </w:pPr>
      <w:r>
        <w:rPr>
          <w:lang w:val="en-US"/>
        </w:rPr>
        <w:t>This Individual Contract (the “Individual Contract”) was executed by and between</w:t>
      </w:r>
      <w:r w:rsidRPr="009B7BA2">
        <w:rPr>
          <w:lang w:val="en-US"/>
        </w:rPr>
        <w:t xml:space="preserve"> [</w:t>
      </w:r>
      <w:r w:rsidRPr="009B7BA2">
        <w:rPr>
          <w:rFonts w:ascii="Garamond" w:hAnsi="Garamond"/>
          <w:lang w:val="en-US"/>
        </w:rPr>
        <w:t>●</w:t>
      </w:r>
      <w:r w:rsidRPr="009B7BA2">
        <w:rPr>
          <w:lang w:val="en-US"/>
        </w:rPr>
        <w:t>]</w:t>
      </w:r>
      <w:r>
        <w:rPr>
          <w:lang w:val="en-US"/>
        </w:rPr>
        <w:t xml:space="preserve"> whose office is registered </w:t>
      </w:r>
      <w:r w:rsidRPr="00713550">
        <w:rPr>
          <w:lang w:val="en-US"/>
        </w:rPr>
        <w:t>at  [</w:t>
      </w:r>
      <w:r w:rsidRPr="00713550">
        <w:rPr>
          <w:rFonts w:ascii="Garamond" w:hAnsi="Garamond"/>
          <w:lang w:val="en-US"/>
        </w:rPr>
        <w:t>●</w:t>
      </w:r>
      <w:r w:rsidRPr="00713550">
        <w:rPr>
          <w:lang w:val="en-US"/>
        </w:rPr>
        <w:t>] (the “</w:t>
      </w:r>
      <w:r>
        <w:rPr>
          <w:lang w:val="en-US"/>
        </w:rPr>
        <w:t>Writer</w:t>
      </w:r>
      <w:r w:rsidRPr="00713550">
        <w:rPr>
          <w:lang w:val="en-US"/>
        </w:rPr>
        <w:t>”) and  [</w:t>
      </w:r>
      <w:r w:rsidRPr="00713550">
        <w:rPr>
          <w:rFonts w:ascii="Garamond" w:hAnsi="Garamond"/>
          <w:lang w:val="en-US"/>
        </w:rPr>
        <w:t>●</w:t>
      </w:r>
      <w:r w:rsidRPr="00713550">
        <w:rPr>
          <w:lang w:val="en-US"/>
        </w:rPr>
        <w:t>] whose office is registered  at  [</w:t>
      </w:r>
      <w:r w:rsidRPr="00713550">
        <w:rPr>
          <w:rFonts w:ascii="Garamond" w:hAnsi="Garamond"/>
          <w:lang w:val="en-US"/>
        </w:rPr>
        <w:t>●</w:t>
      </w:r>
      <w:r w:rsidRPr="00713550">
        <w:rPr>
          <w:lang w:val="en-US"/>
        </w:rPr>
        <w:t>] (the “</w:t>
      </w:r>
      <w:r>
        <w:rPr>
          <w:lang w:val="en-US"/>
        </w:rPr>
        <w:t>Holder</w:t>
      </w:r>
      <w:r w:rsidRPr="00713550">
        <w:rPr>
          <w:lang w:val="en-US"/>
        </w:rPr>
        <w:t>”)</w:t>
      </w:r>
      <w:r w:rsidRPr="00256D2A">
        <w:rPr>
          <w:lang w:val="en-US"/>
        </w:rPr>
        <w:t xml:space="preserve"> </w:t>
      </w:r>
      <w:r>
        <w:rPr>
          <w:lang w:val="en-US"/>
        </w:rPr>
        <w:t xml:space="preserve">on </w:t>
      </w:r>
      <w:r w:rsidRPr="00713550">
        <w:rPr>
          <w:lang w:val="en-US"/>
        </w:rPr>
        <w:t>[</w:t>
      </w:r>
      <w:r w:rsidRPr="00713550">
        <w:rPr>
          <w:rFonts w:ascii="Garamond" w:hAnsi="Garamond"/>
          <w:lang w:val="en-US"/>
        </w:rPr>
        <w:t>●</w:t>
      </w:r>
      <w:r w:rsidRPr="00713550">
        <w:rPr>
          <w:lang w:val="en-US"/>
        </w:rPr>
        <w:t>]</w:t>
      </w:r>
      <w:r>
        <w:rPr>
          <w:lang w:val="en-US"/>
        </w:rPr>
        <w:t xml:space="preserve"> and [</w:t>
      </w:r>
      <w:r w:rsidRPr="00713550">
        <w:rPr>
          <w:rFonts w:ascii="Garamond" w:hAnsi="Garamond"/>
          <w:lang w:val="en-US"/>
        </w:rPr>
        <w:t>●</w:t>
      </w:r>
      <w:r>
        <w:rPr>
          <w:lang w:val="en-US"/>
        </w:rPr>
        <w:t>]</w:t>
      </w:r>
      <w:r w:rsidRPr="002432E6">
        <w:rPr>
          <w:lang w:val="tr-TR"/>
        </w:rPr>
        <w:t xml:space="preserve"> hours</w:t>
      </w:r>
      <w:r w:rsidRPr="00713550">
        <w:rPr>
          <w:lang w:val="en-US"/>
        </w:rPr>
        <w:t xml:space="preserve">,  and constitutes an integral part of the </w:t>
      </w:r>
      <w:r w:rsidRPr="00713550">
        <w:rPr>
          <w:bCs/>
          <w:lang w:val="en-US"/>
        </w:rPr>
        <w:t xml:space="preserve">General Agreement Concerning </w:t>
      </w:r>
      <w:r w:rsidRPr="00713550">
        <w:rPr>
          <w:lang w:val="en-US"/>
        </w:rPr>
        <w:t>the Delivery and Acceptance of Electricity (the “General Agreement”)  signed on [</w:t>
      </w:r>
      <w:r w:rsidRPr="00713550">
        <w:rPr>
          <w:rFonts w:ascii="Garamond" w:hAnsi="Garamond"/>
          <w:lang w:val="en-US"/>
        </w:rPr>
        <w:t>●</w:t>
      </w:r>
      <w:r w:rsidRPr="00713550">
        <w:rPr>
          <w:lang w:val="en-US"/>
        </w:rPr>
        <w:t>]</w:t>
      </w:r>
      <w:r>
        <w:rPr>
          <w:lang w:val="en-US"/>
        </w:rPr>
        <w:t>.</w:t>
      </w:r>
    </w:p>
    <w:p w:rsidR="00F94A7D" w:rsidRPr="00DF0478" w:rsidRDefault="00F94A7D" w:rsidP="00F94A7D">
      <w:pPr>
        <w:shd w:val="clear" w:color="auto" w:fill="FFFFFF"/>
        <w:rPr>
          <w:lang w:val="tr-TR"/>
        </w:rPr>
      </w:pPr>
    </w:p>
    <w:p w:rsidR="00F94A7D" w:rsidRPr="009B7BA2" w:rsidRDefault="00F94A7D" w:rsidP="00F94A7D">
      <w:pPr>
        <w:shd w:val="clear" w:color="auto" w:fill="FFFFFF"/>
        <w:rPr>
          <w:lang w:val="en-US"/>
        </w:rPr>
      </w:pPr>
      <w:r w:rsidRPr="009B7BA2">
        <w:rPr>
          <w:lang w:val="en-US"/>
        </w:rPr>
        <w:t>[</w:t>
      </w:r>
      <w:r w:rsidRPr="009B7BA2">
        <w:rPr>
          <w:rFonts w:ascii="Garamond" w:hAnsi="Garamond"/>
          <w:lang w:val="en-US"/>
        </w:rPr>
        <w:t>●</w:t>
      </w:r>
      <w:r w:rsidRPr="009B7BA2">
        <w:rPr>
          <w:lang w:val="en-US"/>
        </w:rPr>
        <w:t xml:space="preserve">] </w:t>
      </w:r>
      <w:r>
        <w:rPr>
          <w:lang w:val="en-US"/>
        </w:rPr>
        <w:t>and</w:t>
      </w:r>
      <w:r w:rsidRPr="009B7BA2">
        <w:rPr>
          <w:lang w:val="en-US"/>
        </w:rPr>
        <w:t xml:space="preserve"> [</w:t>
      </w:r>
      <w:r w:rsidRPr="009B7BA2">
        <w:rPr>
          <w:rFonts w:ascii="Garamond" w:hAnsi="Garamond"/>
          <w:lang w:val="en-US"/>
        </w:rPr>
        <w:t>●</w:t>
      </w:r>
      <w:r w:rsidRPr="009B7BA2">
        <w:rPr>
          <w:lang w:val="en-US"/>
        </w:rPr>
        <w:t xml:space="preserve">] </w:t>
      </w:r>
      <w:r>
        <w:rPr>
          <w:lang w:val="en-US"/>
        </w:rPr>
        <w:t xml:space="preserve">shall be referred to separately as the “Party” and together as the “Parties”. Once the Option is exercised, the Writer and the Holder may also be referred as the Seller or the Buyer, as the case may be. </w:t>
      </w:r>
    </w:p>
    <w:p w:rsidR="00F94A7D" w:rsidRPr="009B7BA2" w:rsidRDefault="00F94A7D" w:rsidP="00F94A7D">
      <w:pPr>
        <w:pStyle w:val="Heading1"/>
        <w:rPr>
          <w:lang w:val="en-US"/>
        </w:rPr>
      </w:pPr>
      <w:r w:rsidRPr="009B7BA2">
        <w:rPr>
          <w:lang w:val="en-US"/>
        </w:rPr>
        <w:t>ARTICLE 1</w:t>
      </w:r>
      <w:r w:rsidRPr="009B7BA2">
        <w:rPr>
          <w:lang w:val="en-US"/>
        </w:rPr>
        <w:tab/>
        <w:t xml:space="preserve"> SUBJECT OF THE AGREEMENT</w:t>
      </w:r>
    </w:p>
    <w:p w:rsidR="00F94A7D" w:rsidRPr="009B7BA2" w:rsidRDefault="00F94A7D" w:rsidP="00F94A7D">
      <w:pPr>
        <w:rPr>
          <w:lang w:val="en-US"/>
        </w:rPr>
      </w:pPr>
    </w:p>
    <w:p w:rsidR="00F94A7D" w:rsidRPr="009B7BA2" w:rsidRDefault="00F94A7D" w:rsidP="00F94A7D">
      <w:pPr>
        <w:rPr>
          <w:lang w:val="en-US"/>
        </w:rPr>
      </w:pPr>
      <w:r>
        <w:rPr>
          <w:lang w:val="en-US"/>
        </w:rPr>
        <w:t>T</w:t>
      </w:r>
      <w:r w:rsidRPr="005C67B6">
        <w:t xml:space="preserve">he </w:t>
      </w:r>
      <w:r>
        <w:t xml:space="preserve">Writer </w:t>
      </w:r>
      <w:r w:rsidRPr="005C67B6">
        <w:t xml:space="preserve">grants to the </w:t>
      </w:r>
      <w:r>
        <w:t>Holder</w:t>
      </w:r>
      <w:r w:rsidRPr="005C67B6">
        <w:t xml:space="preserve"> th</w:t>
      </w:r>
      <w:r>
        <w:t xml:space="preserve">e right, but not the obligation </w:t>
      </w:r>
      <w:r w:rsidRPr="005C67B6">
        <w:t xml:space="preserve">a physical option to </w:t>
      </w:r>
      <w:r>
        <w:t>sell</w:t>
      </w:r>
      <w:r w:rsidRPr="005C67B6">
        <w:t xml:space="preserve"> electricity </w:t>
      </w:r>
      <w:r>
        <w:t xml:space="preserve">as described in Article 2 herein </w:t>
      </w:r>
      <w:r w:rsidRPr="005C67B6">
        <w:t>(a “</w:t>
      </w:r>
      <w:r>
        <w:t>Put</w:t>
      </w:r>
      <w:r w:rsidRPr="00185F51">
        <w:rPr>
          <w:bCs/>
        </w:rPr>
        <w:t xml:space="preserve"> Option</w:t>
      </w:r>
      <w:r>
        <w:t>”).</w:t>
      </w:r>
    </w:p>
    <w:p w:rsidR="00F94A7D" w:rsidRPr="009B7BA2" w:rsidRDefault="00F94A7D" w:rsidP="00F94A7D">
      <w:pPr>
        <w:pStyle w:val="Heading1"/>
        <w:rPr>
          <w:lang w:val="en-US"/>
        </w:rPr>
      </w:pPr>
      <w:r w:rsidRPr="009B7BA2">
        <w:rPr>
          <w:lang w:val="en-US"/>
        </w:rPr>
        <w:t>ARTICLE 2</w:t>
      </w:r>
      <w:r w:rsidRPr="009B7BA2">
        <w:rPr>
          <w:lang w:val="en-US"/>
        </w:rPr>
        <w:tab/>
      </w:r>
      <w:r>
        <w:rPr>
          <w:lang w:val="en-US"/>
        </w:rPr>
        <w:t xml:space="preserve">OPTION DETAILS AND </w:t>
      </w:r>
      <w:r w:rsidRPr="009B7BA2">
        <w:rPr>
          <w:lang w:val="en-US"/>
        </w:rPr>
        <w:t xml:space="preserve">DELIVERY SCHEDULE </w:t>
      </w:r>
    </w:p>
    <w:p w:rsidR="00F94A7D" w:rsidRPr="009B7BA2" w:rsidRDefault="00F94A7D" w:rsidP="00F94A7D">
      <w:pPr>
        <w:rPr>
          <w:lang w:val="en-US"/>
        </w:rPr>
      </w:pPr>
    </w:p>
    <w:p w:rsidR="00F94A7D" w:rsidRPr="002432E6" w:rsidRDefault="00F94A7D" w:rsidP="00F94A7D">
      <w:pPr>
        <w:spacing w:line="360" w:lineRule="auto"/>
        <w:rPr>
          <w:lang w:val="tr-TR"/>
        </w:rPr>
      </w:pPr>
      <w:r w:rsidRPr="002432E6">
        <w:rPr>
          <w:lang w:val="tr-TR"/>
        </w:rPr>
        <w:t>Option Details:</w:t>
      </w:r>
    </w:p>
    <w:p w:rsidR="00F94A7D" w:rsidRPr="002432E6" w:rsidRDefault="00F94A7D" w:rsidP="00F94A7D">
      <w:pPr>
        <w:widowControl w:val="0"/>
        <w:numPr>
          <w:ilvl w:val="0"/>
          <w:numId w:val="1"/>
        </w:numPr>
        <w:autoSpaceDE w:val="0"/>
        <w:autoSpaceDN w:val="0"/>
        <w:spacing w:after="0" w:line="360" w:lineRule="auto"/>
        <w:jc w:val="left"/>
        <w:rPr>
          <w:lang w:val="tr-TR"/>
        </w:rPr>
      </w:pPr>
      <w:r w:rsidRPr="002432E6">
        <w:rPr>
          <w:lang w:val="tr-TR"/>
        </w:rPr>
        <w:t>Option Type:</w:t>
      </w:r>
      <w:r w:rsidRPr="002432E6">
        <w:rPr>
          <w:lang w:val="tr-TR"/>
        </w:rPr>
        <w:tab/>
        <w:t>Put</w:t>
      </w:r>
    </w:p>
    <w:p w:rsidR="00F94A7D" w:rsidRPr="002432E6" w:rsidRDefault="00F94A7D" w:rsidP="00F94A7D">
      <w:pPr>
        <w:widowControl w:val="0"/>
        <w:numPr>
          <w:ilvl w:val="0"/>
          <w:numId w:val="1"/>
        </w:numPr>
        <w:autoSpaceDE w:val="0"/>
        <w:autoSpaceDN w:val="0"/>
        <w:spacing w:after="0" w:line="360" w:lineRule="auto"/>
        <w:jc w:val="left"/>
        <w:rPr>
          <w:lang w:val="tr-TR"/>
        </w:rPr>
      </w:pPr>
      <w:r w:rsidRPr="002432E6">
        <w:rPr>
          <w:lang w:val="tr-TR"/>
        </w:rPr>
        <w:t>Exercise Deadline:</w:t>
      </w:r>
    </w:p>
    <w:p w:rsidR="00F94A7D" w:rsidRPr="002432E6" w:rsidRDefault="00F94A7D" w:rsidP="00F94A7D">
      <w:pPr>
        <w:widowControl w:val="0"/>
        <w:numPr>
          <w:ilvl w:val="0"/>
          <w:numId w:val="1"/>
        </w:numPr>
        <w:autoSpaceDE w:val="0"/>
        <w:autoSpaceDN w:val="0"/>
        <w:spacing w:after="0" w:line="360" w:lineRule="auto"/>
        <w:jc w:val="left"/>
        <w:rPr>
          <w:lang w:val="tr-TR"/>
        </w:rPr>
      </w:pPr>
      <w:r w:rsidRPr="002432E6">
        <w:rPr>
          <w:lang w:val="tr-TR"/>
        </w:rPr>
        <w:t>Premium:</w:t>
      </w:r>
    </w:p>
    <w:p w:rsidR="00F94A7D" w:rsidRPr="002432E6" w:rsidRDefault="00F94A7D" w:rsidP="00F94A7D">
      <w:pPr>
        <w:widowControl w:val="0"/>
        <w:numPr>
          <w:ilvl w:val="0"/>
          <w:numId w:val="1"/>
        </w:numPr>
        <w:autoSpaceDE w:val="0"/>
        <w:autoSpaceDN w:val="0"/>
        <w:spacing w:after="0" w:line="360" w:lineRule="auto"/>
        <w:jc w:val="left"/>
        <w:rPr>
          <w:lang w:val="tr-TR"/>
        </w:rPr>
      </w:pPr>
      <w:r w:rsidRPr="002432E6">
        <w:rPr>
          <w:lang w:val="tr-TR"/>
        </w:rPr>
        <w:t>Premium Payment Date:</w:t>
      </w:r>
    </w:p>
    <w:p w:rsidR="00F94A7D" w:rsidRPr="002432E6" w:rsidRDefault="00F94A7D" w:rsidP="00F94A7D">
      <w:pPr>
        <w:rPr>
          <w:lang w:val="tr-TR"/>
        </w:rPr>
      </w:pPr>
    </w:p>
    <w:p w:rsidR="00F94A7D" w:rsidRPr="002432E6" w:rsidRDefault="00F94A7D" w:rsidP="00F94A7D">
      <w:pPr>
        <w:spacing w:after="120"/>
        <w:rPr>
          <w:lang w:val="tr-TR"/>
        </w:rPr>
      </w:pPr>
      <w:r w:rsidRPr="002432E6">
        <w:rPr>
          <w:lang w:val="tr-TR"/>
        </w:rPr>
        <w:t>Delivery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70"/>
        <w:gridCol w:w="1100"/>
        <w:gridCol w:w="880"/>
        <w:gridCol w:w="770"/>
        <w:gridCol w:w="1210"/>
        <w:gridCol w:w="1540"/>
        <w:gridCol w:w="1622"/>
        <w:gridCol w:w="1018"/>
      </w:tblGrid>
      <w:tr w:rsidR="00F94A7D" w:rsidRPr="007B652F" w:rsidTr="00AF41FE">
        <w:tc>
          <w:tcPr>
            <w:tcW w:w="1170" w:type="dxa"/>
          </w:tcPr>
          <w:p w:rsidR="00F94A7D" w:rsidRPr="002432E6" w:rsidRDefault="00F94A7D" w:rsidP="00AF41FE">
            <w:pPr>
              <w:jc w:val="center"/>
              <w:rPr>
                <w:lang w:val="tr-TR"/>
              </w:rPr>
            </w:pPr>
            <w:r w:rsidRPr="002432E6">
              <w:rPr>
                <w:lang w:val="tr-TR"/>
              </w:rPr>
              <w:t>First Date</w:t>
            </w:r>
          </w:p>
        </w:tc>
        <w:tc>
          <w:tcPr>
            <w:tcW w:w="1100" w:type="dxa"/>
          </w:tcPr>
          <w:p w:rsidR="00F94A7D" w:rsidRPr="002432E6" w:rsidRDefault="00F94A7D" w:rsidP="00AF41FE">
            <w:pPr>
              <w:jc w:val="center"/>
              <w:rPr>
                <w:lang w:val="tr-TR"/>
              </w:rPr>
            </w:pPr>
            <w:r w:rsidRPr="002432E6">
              <w:rPr>
                <w:lang w:val="tr-TR"/>
              </w:rPr>
              <w:t>Last Date</w:t>
            </w:r>
          </w:p>
        </w:tc>
        <w:tc>
          <w:tcPr>
            <w:tcW w:w="880" w:type="dxa"/>
          </w:tcPr>
          <w:p w:rsidR="00F94A7D" w:rsidRPr="002432E6" w:rsidRDefault="00F94A7D" w:rsidP="00AF41FE">
            <w:pPr>
              <w:jc w:val="center"/>
              <w:rPr>
                <w:lang w:val="tr-TR"/>
              </w:rPr>
            </w:pPr>
            <w:r w:rsidRPr="002432E6">
              <w:rPr>
                <w:lang w:val="tr-TR"/>
              </w:rPr>
              <w:t>From CET</w:t>
            </w:r>
            <w:r>
              <w:rPr>
                <w:lang w:val="tr-TR"/>
              </w:rPr>
              <w:t>+1</w:t>
            </w:r>
          </w:p>
        </w:tc>
        <w:tc>
          <w:tcPr>
            <w:tcW w:w="770" w:type="dxa"/>
          </w:tcPr>
          <w:p w:rsidR="00F94A7D" w:rsidRPr="002432E6" w:rsidRDefault="00F94A7D" w:rsidP="00AF41FE">
            <w:pPr>
              <w:jc w:val="center"/>
              <w:rPr>
                <w:lang w:val="tr-TR"/>
              </w:rPr>
            </w:pPr>
            <w:r w:rsidRPr="002432E6">
              <w:rPr>
                <w:lang w:val="tr-TR"/>
              </w:rPr>
              <w:t>To CET</w:t>
            </w:r>
            <w:r>
              <w:rPr>
                <w:lang w:val="tr-TR"/>
              </w:rPr>
              <w:t>+1</w:t>
            </w:r>
          </w:p>
        </w:tc>
        <w:tc>
          <w:tcPr>
            <w:tcW w:w="1210" w:type="dxa"/>
          </w:tcPr>
          <w:p w:rsidR="00F94A7D" w:rsidRPr="002432E6" w:rsidRDefault="00F94A7D" w:rsidP="00AF41FE">
            <w:pPr>
              <w:jc w:val="center"/>
              <w:rPr>
                <w:lang w:val="tr-TR"/>
              </w:rPr>
            </w:pPr>
            <w:r w:rsidRPr="002432E6">
              <w:rPr>
                <w:lang w:val="tr-TR"/>
              </w:rPr>
              <w:t>Contract Capacity</w:t>
            </w:r>
          </w:p>
          <w:p w:rsidR="00F94A7D" w:rsidRPr="002432E6" w:rsidRDefault="00F94A7D" w:rsidP="00AF41FE">
            <w:pPr>
              <w:jc w:val="center"/>
              <w:rPr>
                <w:lang w:val="tr-TR"/>
              </w:rPr>
            </w:pPr>
            <w:r w:rsidRPr="002432E6">
              <w:rPr>
                <w:lang w:val="tr-TR"/>
              </w:rPr>
              <w:t>MW</w:t>
            </w:r>
          </w:p>
        </w:tc>
        <w:tc>
          <w:tcPr>
            <w:tcW w:w="1540" w:type="dxa"/>
          </w:tcPr>
          <w:p w:rsidR="00F94A7D" w:rsidRPr="002432E6" w:rsidRDefault="00F94A7D" w:rsidP="00AF41FE">
            <w:pPr>
              <w:jc w:val="center"/>
              <w:rPr>
                <w:lang w:val="tr-TR"/>
              </w:rPr>
            </w:pPr>
            <w:r w:rsidRPr="002432E6">
              <w:rPr>
                <w:lang w:val="tr-TR"/>
              </w:rPr>
              <w:t xml:space="preserve">Contract Quantity </w:t>
            </w:r>
          </w:p>
          <w:p w:rsidR="00F94A7D" w:rsidRPr="002432E6" w:rsidRDefault="00F94A7D" w:rsidP="00AF41FE">
            <w:pPr>
              <w:jc w:val="center"/>
              <w:rPr>
                <w:lang w:val="tr-TR"/>
              </w:rPr>
            </w:pPr>
            <w:r w:rsidRPr="002432E6">
              <w:rPr>
                <w:lang w:val="tr-TR"/>
              </w:rPr>
              <w:t>MWh</w:t>
            </w:r>
          </w:p>
        </w:tc>
        <w:tc>
          <w:tcPr>
            <w:tcW w:w="1622" w:type="dxa"/>
          </w:tcPr>
          <w:p w:rsidR="00F94A7D" w:rsidRPr="002432E6" w:rsidRDefault="00F94A7D" w:rsidP="00AF41FE">
            <w:pPr>
              <w:jc w:val="center"/>
              <w:rPr>
                <w:lang w:val="tr-TR"/>
              </w:rPr>
            </w:pPr>
            <w:r w:rsidRPr="002432E6">
              <w:rPr>
                <w:lang w:val="tr-TR"/>
              </w:rPr>
              <w:t>Strike Price</w:t>
            </w:r>
          </w:p>
          <w:p w:rsidR="00F94A7D" w:rsidRPr="002432E6" w:rsidRDefault="00F94A7D" w:rsidP="00AF41FE">
            <w:pPr>
              <w:jc w:val="center"/>
              <w:rPr>
                <w:lang w:val="tr-TR"/>
              </w:rPr>
            </w:pPr>
            <w:r w:rsidRPr="002432E6">
              <w:rPr>
                <w:lang w:val="tr-TR"/>
              </w:rPr>
              <w:t xml:space="preserve">(Contract Price) </w:t>
            </w:r>
          </w:p>
          <w:p w:rsidR="00F94A7D" w:rsidRPr="002432E6" w:rsidRDefault="00F94A7D" w:rsidP="00AF41FE">
            <w:pPr>
              <w:jc w:val="center"/>
              <w:rPr>
                <w:lang w:val="tr-TR"/>
              </w:rPr>
            </w:pPr>
            <w:r>
              <w:rPr>
                <w:lang w:val="tr-TR"/>
              </w:rPr>
              <w:t>TL</w:t>
            </w:r>
            <w:r w:rsidRPr="002432E6">
              <w:rPr>
                <w:lang w:val="tr-TR"/>
              </w:rPr>
              <w:t xml:space="preserve"> / MWh</w:t>
            </w:r>
          </w:p>
        </w:tc>
        <w:tc>
          <w:tcPr>
            <w:tcW w:w="1018" w:type="dxa"/>
          </w:tcPr>
          <w:p w:rsidR="00F94A7D" w:rsidRPr="002432E6" w:rsidRDefault="00F94A7D" w:rsidP="00AF41FE">
            <w:pPr>
              <w:jc w:val="center"/>
              <w:rPr>
                <w:lang w:val="tr-TR"/>
              </w:rPr>
            </w:pPr>
            <w:r w:rsidRPr="002432E6">
              <w:rPr>
                <w:lang w:val="tr-TR"/>
              </w:rPr>
              <w:t xml:space="preserve">Total </w:t>
            </w:r>
            <w:r w:rsidRPr="002432E6">
              <w:rPr>
                <w:lang w:val="tr-TR"/>
              </w:rPr>
              <w:br/>
              <w:t>amount</w:t>
            </w:r>
          </w:p>
          <w:p w:rsidR="00F94A7D" w:rsidRPr="002432E6" w:rsidRDefault="00F94A7D" w:rsidP="00AF41FE">
            <w:pPr>
              <w:jc w:val="center"/>
              <w:rPr>
                <w:lang w:val="tr-TR"/>
              </w:rPr>
            </w:pPr>
            <w:r>
              <w:rPr>
                <w:lang w:val="tr-TR"/>
              </w:rPr>
              <w:t>TL</w:t>
            </w:r>
          </w:p>
        </w:tc>
      </w:tr>
      <w:tr w:rsidR="00F94A7D" w:rsidRPr="007B652F" w:rsidTr="00AF41FE">
        <w:tc>
          <w:tcPr>
            <w:tcW w:w="1170" w:type="dxa"/>
          </w:tcPr>
          <w:p w:rsidR="00F94A7D" w:rsidRPr="002432E6" w:rsidRDefault="00F94A7D" w:rsidP="00AF41FE">
            <w:pPr>
              <w:jc w:val="center"/>
              <w:rPr>
                <w:lang w:val="tr-TR"/>
              </w:rPr>
            </w:pPr>
          </w:p>
        </w:tc>
        <w:tc>
          <w:tcPr>
            <w:tcW w:w="1100" w:type="dxa"/>
          </w:tcPr>
          <w:p w:rsidR="00F94A7D" w:rsidRPr="002432E6" w:rsidRDefault="00F94A7D" w:rsidP="00AF41FE">
            <w:pPr>
              <w:jc w:val="center"/>
              <w:rPr>
                <w:lang w:val="tr-TR"/>
              </w:rPr>
            </w:pPr>
          </w:p>
        </w:tc>
        <w:tc>
          <w:tcPr>
            <w:tcW w:w="880" w:type="dxa"/>
          </w:tcPr>
          <w:p w:rsidR="00F94A7D" w:rsidRPr="002432E6" w:rsidRDefault="00F94A7D" w:rsidP="00AF41FE">
            <w:pPr>
              <w:jc w:val="center"/>
              <w:rPr>
                <w:lang w:val="tr-TR"/>
              </w:rPr>
            </w:pPr>
          </w:p>
        </w:tc>
        <w:tc>
          <w:tcPr>
            <w:tcW w:w="770" w:type="dxa"/>
          </w:tcPr>
          <w:p w:rsidR="00F94A7D" w:rsidRPr="002432E6" w:rsidRDefault="00F94A7D" w:rsidP="00AF41FE">
            <w:pPr>
              <w:jc w:val="center"/>
              <w:rPr>
                <w:lang w:val="tr-TR"/>
              </w:rPr>
            </w:pPr>
          </w:p>
        </w:tc>
        <w:tc>
          <w:tcPr>
            <w:tcW w:w="1210" w:type="dxa"/>
          </w:tcPr>
          <w:p w:rsidR="00F94A7D" w:rsidRPr="002432E6" w:rsidRDefault="00F94A7D" w:rsidP="00AF41FE">
            <w:pPr>
              <w:jc w:val="center"/>
              <w:rPr>
                <w:lang w:val="tr-TR"/>
              </w:rPr>
            </w:pPr>
          </w:p>
        </w:tc>
        <w:tc>
          <w:tcPr>
            <w:tcW w:w="1540" w:type="dxa"/>
          </w:tcPr>
          <w:p w:rsidR="00F94A7D" w:rsidRPr="002432E6" w:rsidRDefault="00F94A7D" w:rsidP="00AF41FE">
            <w:pPr>
              <w:jc w:val="center"/>
              <w:rPr>
                <w:lang w:val="tr-TR"/>
              </w:rPr>
            </w:pPr>
            <w:r w:rsidRPr="002432E6">
              <w:rPr>
                <w:lang w:val="tr-TR"/>
              </w:rPr>
              <w:t>(Total)</w:t>
            </w:r>
          </w:p>
        </w:tc>
        <w:tc>
          <w:tcPr>
            <w:tcW w:w="1622" w:type="dxa"/>
          </w:tcPr>
          <w:p w:rsidR="00F94A7D" w:rsidRPr="002432E6" w:rsidRDefault="00F94A7D" w:rsidP="00AF41FE">
            <w:pPr>
              <w:jc w:val="center"/>
              <w:rPr>
                <w:lang w:val="tr-TR"/>
              </w:rPr>
            </w:pPr>
          </w:p>
        </w:tc>
        <w:tc>
          <w:tcPr>
            <w:tcW w:w="1018" w:type="dxa"/>
          </w:tcPr>
          <w:p w:rsidR="00F94A7D" w:rsidRPr="002432E6" w:rsidRDefault="00F94A7D" w:rsidP="00AF41FE">
            <w:pPr>
              <w:jc w:val="center"/>
              <w:rPr>
                <w:lang w:val="tr-TR"/>
              </w:rPr>
            </w:pPr>
            <w:r w:rsidRPr="002432E6">
              <w:rPr>
                <w:lang w:val="tr-TR"/>
              </w:rPr>
              <w:t>(Total)</w:t>
            </w:r>
          </w:p>
        </w:tc>
      </w:tr>
      <w:tr w:rsidR="00F94A7D" w:rsidRPr="007B652F" w:rsidTr="00AF41FE">
        <w:tc>
          <w:tcPr>
            <w:tcW w:w="1170" w:type="dxa"/>
          </w:tcPr>
          <w:p w:rsidR="00F94A7D" w:rsidRPr="002432E6" w:rsidRDefault="00F94A7D" w:rsidP="00AF41FE">
            <w:pPr>
              <w:jc w:val="center"/>
              <w:rPr>
                <w:lang w:val="tr-TR"/>
              </w:rPr>
            </w:pPr>
          </w:p>
        </w:tc>
        <w:tc>
          <w:tcPr>
            <w:tcW w:w="1100" w:type="dxa"/>
          </w:tcPr>
          <w:p w:rsidR="00F94A7D" w:rsidRPr="002432E6" w:rsidRDefault="00F94A7D" w:rsidP="00AF41FE">
            <w:pPr>
              <w:jc w:val="center"/>
              <w:rPr>
                <w:lang w:val="tr-TR"/>
              </w:rPr>
            </w:pPr>
          </w:p>
        </w:tc>
        <w:tc>
          <w:tcPr>
            <w:tcW w:w="880" w:type="dxa"/>
          </w:tcPr>
          <w:p w:rsidR="00F94A7D" w:rsidRPr="002432E6" w:rsidRDefault="00F94A7D" w:rsidP="00AF41FE">
            <w:pPr>
              <w:jc w:val="center"/>
              <w:rPr>
                <w:lang w:val="tr-TR"/>
              </w:rPr>
            </w:pPr>
          </w:p>
        </w:tc>
        <w:tc>
          <w:tcPr>
            <w:tcW w:w="770" w:type="dxa"/>
          </w:tcPr>
          <w:p w:rsidR="00F94A7D" w:rsidRPr="002432E6" w:rsidRDefault="00F94A7D" w:rsidP="00AF41FE">
            <w:pPr>
              <w:jc w:val="center"/>
              <w:rPr>
                <w:lang w:val="tr-TR"/>
              </w:rPr>
            </w:pPr>
          </w:p>
        </w:tc>
        <w:tc>
          <w:tcPr>
            <w:tcW w:w="1210" w:type="dxa"/>
          </w:tcPr>
          <w:p w:rsidR="00F94A7D" w:rsidRPr="002432E6" w:rsidRDefault="00F94A7D" w:rsidP="00AF41FE">
            <w:pPr>
              <w:jc w:val="center"/>
              <w:rPr>
                <w:lang w:val="tr-TR"/>
              </w:rPr>
            </w:pPr>
          </w:p>
        </w:tc>
        <w:tc>
          <w:tcPr>
            <w:tcW w:w="1540" w:type="dxa"/>
          </w:tcPr>
          <w:p w:rsidR="00F94A7D" w:rsidRPr="002432E6" w:rsidRDefault="00F94A7D" w:rsidP="00AF41FE">
            <w:pPr>
              <w:jc w:val="center"/>
              <w:rPr>
                <w:lang w:val="tr-TR"/>
              </w:rPr>
            </w:pPr>
            <w:r w:rsidRPr="002432E6">
              <w:rPr>
                <w:lang w:val="tr-TR"/>
              </w:rPr>
              <w:t>(Total)</w:t>
            </w:r>
          </w:p>
        </w:tc>
        <w:tc>
          <w:tcPr>
            <w:tcW w:w="1622" w:type="dxa"/>
          </w:tcPr>
          <w:p w:rsidR="00F94A7D" w:rsidRPr="002432E6" w:rsidRDefault="00F94A7D" w:rsidP="00AF41FE">
            <w:pPr>
              <w:jc w:val="center"/>
              <w:rPr>
                <w:lang w:val="tr-TR"/>
              </w:rPr>
            </w:pPr>
          </w:p>
        </w:tc>
        <w:tc>
          <w:tcPr>
            <w:tcW w:w="1018" w:type="dxa"/>
          </w:tcPr>
          <w:p w:rsidR="00F94A7D" w:rsidRPr="002432E6" w:rsidRDefault="00F94A7D" w:rsidP="00AF41FE">
            <w:pPr>
              <w:jc w:val="center"/>
              <w:rPr>
                <w:lang w:val="tr-TR"/>
              </w:rPr>
            </w:pPr>
            <w:r w:rsidRPr="002432E6">
              <w:rPr>
                <w:lang w:val="tr-TR"/>
              </w:rPr>
              <w:t>(Total)</w:t>
            </w:r>
          </w:p>
        </w:tc>
      </w:tr>
      <w:tr w:rsidR="00F94A7D" w:rsidRPr="007B652F" w:rsidTr="00AF41FE">
        <w:tc>
          <w:tcPr>
            <w:tcW w:w="1170" w:type="dxa"/>
          </w:tcPr>
          <w:p w:rsidR="00F94A7D" w:rsidRPr="002432E6" w:rsidRDefault="00F94A7D" w:rsidP="00AF41FE">
            <w:pPr>
              <w:jc w:val="center"/>
              <w:rPr>
                <w:lang w:val="tr-TR"/>
              </w:rPr>
            </w:pPr>
          </w:p>
        </w:tc>
        <w:tc>
          <w:tcPr>
            <w:tcW w:w="1100" w:type="dxa"/>
          </w:tcPr>
          <w:p w:rsidR="00F94A7D" w:rsidRPr="002432E6" w:rsidRDefault="00F94A7D" w:rsidP="00AF41FE">
            <w:pPr>
              <w:jc w:val="center"/>
              <w:rPr>
                <w:lang w:val="tr-TR"/>
              </w:rPr>
            </w:pPr>
          </w:p>
        </w:tc>
        <w:tc>
          <w:tcPr>
            <w:tcW w:w="880" w:type="dxa"/>
          </w:tcPr>
          <w:p w:rsidR="00F94A7D" w:rsidRPr="002432E6" w:rsidRDefault="00F94A7D" w:rsidP="00AF41FE">
            <w:pPr>
              <w:jc w:val="center"/>
              <w:rPr>
                <w:lang w:val="tr-TR"/>
              </w:rPr>
            </w:pPr>
          </w:p>
        </w:tc>
        <w:tc>
          <w:tcPr>
            <w:tcW w:w="770" w:type="dxa"/>
          </w:tcPr>
          <w:p w:rsidR="00F94A7D" w:rsidRPr="002432E6" w:rsidRDefault="00F94A7D" w:rsidP="00AF41FE">
            <w:pPr>
              <w:jc w:val="center"/>
              <w:rPr>
                <w:lang w:val="tr-TR"/>
              </w:rPr>
            </w:pPr>
          </w:p>
        </w:tc>
        <w:tc>
          <w:tcPr>
            <w:tcW w:w="1210" w:type="dxa"/>
          </w:tcPr>
          <w:p w:rsidR="00F94A7D" w:rsidRPr="002432E6" w:rsidRDefault="00F94A7D" w:rsidP="00AF41FE">
            <w:pPr>
              <w:jc w:val="center"/>
              <w:rPr>
                <w:lang w:val="tr-TR"/>
              </w:rPr>
            </w:pPr>
          </w:p>
        </w:tc>
        <w:tc>
          <w:tcPr>
            <w:tcW w:w="1540" w:type="dxa"/>
          </w:tcPr>
          <w:p w:rsidR="00F94A7D" w:rsidRPr="002432E6" w:rsidRDefault="00F94A7D" w:rsidP="00AF41FE">
            <w:pPr>
              <w:jc w:val="center"/>
              <w:rPr>
                <w:lang w:val="tr-TR"/>
              </w:rPr>
            </w:pPr>
            <w:r w:rsidRPr="002432E6">
              <w:rPr>
                <w:lang w:val="tr-TR"/>
              </w:rPr>
              <w:t>(Total)</w:t>
            </w:r>
          </w:p>
        </w:tc>
        <w:tc>
          <w:tcPr>
            <w:tcW w:w="1622" w:type="dxa"/>
          </w:tcPr>
          <w:p w:rsidR="00F94A7D" w:rsidRPr="002432E6" w:rsidRDefault="00F94A7D" w:rsidP="00AF41FE">
            <w:pPr>
              <w:jc w:val="center"/>
              <w:rPr>
                <w:lang w:val="tr-TR"/>
              </w:rPr>
            </w:pPr>
          </w:p>
        </w:tc>
        <w:tc>
          <w:tcPr>
            <w:tcW w:w="1018" w:type="dxa"/>
          </w:tcPr>
          <w:p w:rsidR="00F94A7D" w:rsidRPr="002432E6" w:rsidRDefault="00F94A7D" w:rsidP="00AF41FE">
            <w:pPr>
              <w:jc w:val="center"/>
              <w:rPr>
                <w:lang w:val="tr-TR"/>
              </w:rPr>
            </w:pPr>
            <w:r w:rsidRPr="002432E6">
              <w:rPr>
                <w:lang w:val="tr-TR"/>
              </w:rPr>
              <w:t>(Total)</w:t>
            </w:r>
          </w:p>
        </w:tc>
      </w:tr>
      <w:tr w:rsidR="00F94A7D" w:rsidRPr="007B652F" w:rsidTr="00AF41FE">
        <w:tc>
          <w:tcPr>
            <w:tcW w:w="1170" w:type="dxa"/>
          </w:tcPr>
          <w:p w:rsidR="00F94A7D" w:rsidRPr="002432E6" w:rsidRDefault="00F94A7D" w:rsidP="00AF41FE">
            <w:pPr>
              <w:jc w:val="center"/>
              <w:rPr>
                <w:lang w:val="tr-TR"/>
              </w:rPr>
            </w:pPr>
          </w:p>
        </w:tc>
        <w:tc>
          <w:tcPr>
            <w:tcW w:w="1100" w:type="dxa"/>
          </w:tcPr>
          <w:p w:rsidR="00F94A7D" w:rsidRPr="002432E6" w:rsidRDefault="00F94A7D" w:rsidP="00AF41FE">
            <w:pPr>
              <w:jc w:val="center"/>
              <w:rPr>
                <w:lang w:val="tr-TR"/>
              </w:rPr>
            </w:pPr>
          </w:p>
        </w:tc>
        <w:tc>
          <w:tcPr>
            <w:tcW w:w="880" w:type="dxa"/>
          </w:tcPr>
          <w:p w:rsidR="00F94A7D" w:rsidRPr="002432E6" w:rsidRDefault="00F94A7D" w:rsidP="00AF41FE">
            <w:pPr>
              <w:jc w:val="center"/>
              <w:rPr>
                <w:lang w:val="tr-TR"/>
              </w:rPr>
            </w:pPr>
          </w:p>
        </w:tc>
        <w:tc>
          <w:tcPr>
            <w:tcW w:w="770" w:type="dxa"/>
          </w:tcPr>
          <w:p w:rsidR="00F94A7D" w:rsidRPr="002432E6" w:rsidRDefault="00F94A7D" w:rsidP="00AF41FE">
            <w:pPr>
              <w:jc w:val="center"/>
              <w:rPr>
                <w:lang w:val="tr-TR"/>
              </w:rPr>
            </w:pPr>
          </w:p>
        </w:tc>
        <w:tc>
          <w:tcPr>
            <w:tcW w:w="1210" w:type="dxa"/>
          </w:tcPr>
          <w:p w:rsidR="00F94A7D" w:rsidRPr="002432E6" w:rsidRDefault="00F94A7D" w:rsidP="00AF41FE">
            <w:pPr>
              <w:jc w:val="center"/>
              <w:rPr>
                <w:lang w:val="tr-TR"/>
              </w:rPr>
            </w:pPr>
          </w:p>
        </w:tc>
        <w:tc>
          <w:tcPr>
            <w:tcW w:w="1540" w:type="dxa"/>
          </w:tcPr>
          <w:p w:rsidR="00F94A7D" w:rsidRPr="002432E6" w:rsidRDefault="00F94A7D" w:rsidP="00AF41FE">
            <w:pPr>
              <w:jc w:val="center"/>
              <w:rPr>
                <w:lang w:val="tr-TR"/>
              </w:rPr>
            </w:pPr>
            <w:r w:rsidRPr="002432E6">
              <w:rPr>
                <w:lang w:val="tr-TR"/>
              </w:rPr>
              <w:t>(Total)</w:t>
            </w:r>
          </w:p>
        </w:tc>
        <w:tc>
          <w:tcPr>
            <w:tcW w:w="1622" w:type="dxa"/>
          </w:tcPr>
          <w:p w:rsidR="00F94A7D" w:rsidRPr="002432E6" w:rsidRDefault="00F94A7D" w:rsidP="00AF41FE">
            <w:pPr>
              <w:jc w:val="center"/>
              <w:rPr>
                <w:lang w:val="tr-TR"/>
              </w:rPr>
            </w:pPr>
          </w:p>
        </w:tc>
        <w:tc>
          <w:tcPr>
            <w:tcW w:w="1018" w:type="dxa"/>
          </w:tcPr>
          <w:p w:rsidR="00F94A7D" w:rsidRPr="002432E6" w:rsidRDefault="00F94A7D" w:rsidP="00AF41FE">
            <w:pPr>
              <w:jc w:val="center"/>
              <w:rPr>
                <w:lang w:val="tr-TR"/>
              </w:rPr>
            </w:pPr>
            <w:r w:rsidRPr="002432E6">
              <w:rPr>
                <w:lang w:val="tr-TR"/>
              </w:rPr>
              <w:t>(Total)</w:t>
            </w:r>
          </w:p>
        </w:tc>
      </w:tr>
      <w:tr w:rsidR="00F94A7D" w:rsidRPr="007B652F" w:rsidTr="00AF41FE">
        <w:tc>
          <w:tcPr>
            <w:tcW w:w="1170" w:type="dxa"/>
          </w:tcPr>
          <w:p w:rsidR="00F94A7D" w:rsidRPr="002432E6" w:rsidRDefault="00F94A7D" w:rsidP="00AF41FE">
            <w:pPr>
              <w:jc w:val="center"/>
              <w:rPr>
                <w:lang w:val="tr-TR"/>
              </w:rPr>
            </w:pPr>
          </w:p>
        </w:tc>
        <w:tc>
          <w:tcPr>
            <w:tcW w:w="1100" w:type="dxa"/>
          </w:tcPr>
          <w:p w:rsidR="00F94A7D" w:rsidRPr="002432E6" w:rsidRDefault="00F94A7D" w:rsidP="00AF41FE">
            <w:pPr>
              <w:jc w:val="center"/>
              <w:rPr>
                <w:lang w:val="tr-TR"/>
              </w:rPr>
            </w:pPr>
          </w:p>
        </w:tc>
        <w:tc>
          <w:tcPr>
            <w:tcW w:w="880" w:type="dxa"/>
          </w:tcPr>
          <w:p w:rsidR="00F94A7D" w:rsidRPr="002432E6" w:rsidRDefault="00F94A7D" w:rsidP="00AF41FE">
            <w:pPr>
              <w:jc w:val="center"/>
              <w:rPr>
                <w:lang w:val="tr-TR"/>
              </w:rPr>
            </w:pPr>
          </w:p>
        </w:tc>
        <w:tc>
          <w:tcPr>
            <w:tcW w:w="770" w:type="dxa"/>
          </w:tcPr>
          <w:p w:rsidR="00F94A7D" w:rsidRPr="002432E6" w:rsidRDefault="00F94A7D" w:rsidP="00AF41FE">
            <w:pPr>
              <w:jc w:val="center"/>
              <w:rPr>
                <w:lang w:val="tr-TR"/>
              </w:rPr>
            </w:pPr>
          </w:p>
        </w:tc>
        <w:tc>
          <w:tcPr>
            <w:tcW w:w="1210" w:type="dxa"/>
          </w:tcPr>
          <w:p w:rsidR="00F94A7D" w:rsidRPr="002432E6" w:rsidRDefault="00F94A7D" w:rsidP="00AF41FE">
            <w:pPr>
              <w:jc w:val="center"/>
              <w:rPr>
                <w:lang w:val="tr-TR"/>
              </w:rPr>
            </w:pPr>
          </w:p>
        </w:tc>
        <w:tc>
          <w:tcPr>
            <w:tcW w:w="1540" w:type="dxa"/>
          </w:tcPr>
          <w:p w:rsidR="00F94A7D" w:rsidRPr="002432E6" w:rsidRDefault="00F94A7D" w:rsidP="00AF41FE">
            <w:pPr>
              <w:jc w:val="center"/>
              <w:rPr>
                <w:lang w:val="tr-TR"/>
              </w:rPr>
            </w:pPr>
            <w:r w:rsidRPr="002432E6">
              <w:rPr>
                <w:lang w:val="tr-TR"/>
              </w:rPr>
              <w:t>(Total)</w:t>
            </w:r>
          </w:p>
        </w:tc>
        <w:tc>
          <w:tcPr>
            <w:tcW w:w="1622" w:type="dxa"/>
          </w:tcPr>
          <w:p w:rsidR="00F94A7D" w:rsidRPr="002432E6" w:rsidRDefault="00F94A7D" w:rsidP="00AF41FE">
            <w:pPr>
              <w:jc w:val="center"/>
              <w:rPr>
                <w:lang w:val="tr-TR"/>
              </w:rPr>
            </w:pPr>
          </w:p>
        </w:tc>
        <w:tc>
          <w:tcPr>
            <w:tcW w:w="1018" w:type="dxa"/>
          </w:tcPr>
          <w:p w:rsidR="00F94A7D" w:rsidRPr="002432E6" w:rsidRDefault="00F94A7D" w:rsidP="00AF41FE">
            <w:pPr>
              <w:jc w:val="center"/>
              <w:rPr>
                <w:lang w:val="tr-TR"/>
              </w:rPr>
            </w:pPr>
            <w:r w:rsidRPr="002432E6">
              <w:rPr>
                <w:lang w:val="tr-TR"/>
              </w:rPr>
              <w:t>(Total)</w:t>
            </w:r>
          </w:p>
        </w:tc>
      </w:tr>
    </w:tbl>
    <w:p w:rsidR="00F94A7D" w:rsidRPr="002432E6" w:rsidRDefault="00F94A7D" w:rsidP="00F94A7D">
      <w:pPr>
        <w:jc w:val="center"/>
        <w:rPr>
          <w:lang w:val="tr-TR"/>
        </w:rPr>
      </w:pPr>
      <w:r w:rsidRPr="002432E6">
        <w:rPr>
          <w:lang w:val="tr-TR"/>
        </w:rPr>
        <w:br w:type="page"/>
      </w:r>
      <w:r w:rsidRPr="002432E6">
        <w:rPr>
          <w:lang w:val="tr-TR"/>
        </w:rPr>
        <w:lastRenderedPageBreak/>
        <w:t>and additional (for single-block contracts)</w:t>
      </w:r>
    </w:p>
    <w:p w:rsidR="00F94A7D" w:rsidRPr="002432E6" w:rsidRDefault="00F94A7D" w:rsidP="00F94A7D">
      <w:pPr>
        <w:jc w:val="center"/>
        <w:rPr>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0"/>
        <w:gridCol w:w="770"/>
        <w:gridCol w:w="770"/>
        <w:gridCol w:w="770"/>
        <w:gridCol w:w="770"/>
        <w:gridCol w:w="770"/>
        <w:gridCol w:w="770"/>
        <w:gridCol w:w="1910"/>
        <w:gridCol w:w="2010"/>
      </w:tblGrid>
      <w:tr w:rsidR="00F94A7D" w:rsidRPr="007B652F" w:rsidTr="00AF41FE">
        <w:tc>
          <w:tcPr>
            <w:tcW w:w="770" w:type="dxa"/>
          </w:tcPr>
          <w:p w:rsidR="00F94A7D" w:rsidRPr="002432E6" w:rsidRDefault="00F94A7D" w:rsidP="00AF41FE">
            <w:pPr>
              <w:jc w:val="center"/>
              <w:rPr>
                <w:lang w:val="tr-TR"/>
              </w:rPr>
            </w:pPr>
            <w:r w:rsidRPr="002432E6">
              <w:rPr>
                <w:lang w:val="tr-TR"/>
              </w:rPr>
              <w:t>Mon</w:t>
            </w:r>
          </w:p>
        </w:tc>
        <w:tc>
          <w:tcPr>
            <w:tcW w:w="770" w:type="dxa"/>
          </w:tcPr>
          <w:p w:rsidR="00F94A7D" w:rsidRPr="002432E6" w:rsidRDefault="00F94A7D" w:rsidP="00AF41FE">
            <w:pPr>
              <w:jc w:val="center"/>
              <w:rPr>
                <w:lang w:val="tr-TR"/>
              </w:rPr>
            </w:pPr>
            <w:r w:rsidRPr="002432E6">
              <w:rPr>
                <w:lang w:val="tr-TR"/>
              </w:rPr>
              <w:t>Tue</w:t>
            </w:r>
          </w:p>
        </w:tc>
        <w:tc>
          <w:tcPr>
            <w:tcW w:w="770" w:type="dxa"/>
          </w:tcPr>
          <w:p w:rsidR="00F94A7D" w:rsidRPr="002432E6" w:rsidRDefault="00F94A7D" w:rsidP="00AF41FE">
            <w:pPr>
              <w:jc w:val="center"/>
              <w:rPr>
                <w:lang w:val="tr-TR"/>
              </w:rPr>
            </w:pPr>
            <w:r w:rsidRPr="002432E6">
              <w:rPr>
                <w:lang w:val="tr-TR"/>
              </w:rPr>
              <w:t>Wed</w:t>
            </w:r>
          </w:p>
        </w:tc>
        <w:tc>
          <w:tcPr>
            <w:tcW w:w="770" w:type="dxa"/>
          </w:tcPr>
          <w:p w:rsidR="00F94A7D" w:rsidRPr="002432E6" w:rsidRDefault="00F94A7D" w:rsidP="00AF41FE">
            <w:pPr>
              <w:jc w:val="center"/>
              <w:rPr>
                <w:lang w:val="tr-TR"/>
              </w:rPr>
            </w:pPr>
            <w:r w:rsidRPr="002432E6">
              <w:rPr>
                <w:lang w:val="tr-TR"/>
              </w:rPr>
              <w:t>Thu</w:t>
            </w:r>
          </w:p>
        </w:tc>
        <w:tc>
          <w:tcPr>
            <w:tcW w:w="770" w:type="dxa"/>
          </w:tcPr>
          <w:p w:rsidR="00F94A7D" w:rsidRPr="002432E6" w:rsidRDefault="00F94A7D" w:rsidP="00AF41FE">
            <w:pPr>
              <w:jc w:val="center"/>
              <w:rPr>
                <w:lang w:val="tr-TR"/>
              </w:rPr>
            </w:pPr>
            <w:r w:rsidRPr="002432E6">
              <w:rPr>
                <w:lang w:val="tr-TR"/>
              </w:rPr>
              <w:t>Fri</w:t>
            </w:r>
          </w:p>
        </w:tc>
        <w:tc>
          <w:tcPr>
            <w:tcW w:w="770" w:type="dxa"/>
          </w:tcPr>
          <w:p w:rsidR="00F94A7D" w:rsidRPr="002432E6" w:rsidRDefault="00F94A7D" w:rsidP="00AF41FE">
            <w:pPr>
              <w:jc w:val="center"/>
              <w:rPr>
                <w:lang w:val="tr-TR"/>
              </w:rPr>
            </w:pPr>
            <w:r w:rsidRPr="002432E6">
              <w:rPr>
                <w:lang w:val="tr-TR"/>
              </w:rPr>
              <w:t>Sat</w:t>
            </w:r>
          </w:p>
        </w:tc>
        <w:tc>
          <w:tcPr>
            <w:tcW w:w="770" w:type="dxa"/>
          </w:tcPr>
          <w:p w:rsidR="00F94A7D" w:rsidRPr="002432E6" w:rsidRDefault="00F94A7D" w:rsidP="00AF41FE">
            <w:pPr>
              <w:jc w:val="center"/>
              <w:rPr>
                <w:lang w:val="tr-TR"/>
              </w:rPr>
            </w:pPr>
            <w:r w:rsidRPr="002432E6">
              <w:rPr>
                <w:lang w:val="tr-TR"/>
              </w:rPr>
              <w:t>Sun</w:t>
            </w:r>
          </w:p>
        </w:tc>
        <w:tc>
          <w:tcPr>
            <w:tcW w:w="1910" w:type="dxa"/>
          </w:tcPr>
          <w:p w:rsidR="00F94A7D" w:rsidRPr="002432E6" w:rsidRDefault="00F94A7D" w:rsidP="00AF41FE">
            <w:pPr>
              <w:jc w:val="center"/>
              <w:rPr>
                <w:lang w:val="tr-TR"/>
              </w:rPr>
            </w:pPr>
            <w:r w:rsidRPr="002432E6">
              <w:rPr>
                <w:lang w:val="tr-TR"/>
              </w:rPr>
              <w:t>including Holidays</w:t>
            </w:r>
          </w:p>
        </w:tc>
        <w:tc>
          <w:tcPr>
            <w:tcW w:w="2010" w:type="dxa"/>
          </w:tcPr>
          <w:p w:rsidR="00F94A7D" w:rsidRPr="002432E6" w:rsidRDefault="00F94A7D" w:rsidP="00AF41FE">
            <w:pPr>
              <w:jc w:val="center"/>
              <w:rPr>
                <w:lang w:val="tr-TR"/>
              </w:rPr>
            </w:pPr>
            <w:r w:rsidRPr="002432E6">
              <w:rPr>
                <w:lang w:val="tr-TR"/>
              </w:rPr>
              <w:t>excluding Holidays as specified below</w:t>
            </w:r>
          </w:p>
        </w:tc>
      </w:tr>
      <w:tr w:rsidR="00F94A7D" w:rsidRPr="007B652F" w:rsidTr="00AF41FE">
        <w:tc>
          <w:tcPr>
            <w:tcW w:w="770" w:type="dxa"/>
          </w:tcPr>
          <w:p w:rsidR="00F94A7D" w:rsidRPr="002432E6" w:rsidRDefault="00F94A7D" w:rsidP="00AF41FE">
            <w:pPr>
              <w:jc w:val="center"/>
              <w:rPr>
                <w:lang w:val="tr-TR"/>
              </w:rPr>
            </w:pPr>
          </w:p>
        </w:tc>
        <w:tc>
          <w:tcPr>
            <w:tcW w:w="770" w:type="dxa"/>
          </w:tcPr>
          <w:p w:rsidR="00F94A7D" w:rsidRPr="002432E6" w:rsidRDefault="00F94A7D" w:rsidP="00AF41FE">
            <w:pPr>
              <w:jc w:val="center"/>
              <w:rPr>
                <w:lang w:val="tr-TR"/>
              </w:rPr>
            </w:pPr>
          </w:p>
        </w:tc>
        <w:tc>
          <w:tcPr>
            <w:tcW w:w="770" w:type="dxa"/>
          </w:tcPr>
          <w:p w:rsidR="00F94A7D" w:rsidRPr="002432E6" w:rsidRDefault="00F94A7D" w:rsidP="00AF41FE">
            <w:pPr>
              <w:jc w:val="center"/>
              <w:rPr>
                <w:lang w:val="tr-TR"/>
              </w:rPr>
            </w:pPr>
          </w:p>
        </w:tc>
        <w:tc>
          <w:tcPr>
            <w:tcW w:w="770" w:type="dxa"/>
          </w:tcPr>
          <w:p w:rsidR="00F94A7D" w:rsidRPr="002432E6" w:rsidRDefault="00F94A7D" w:rsidP="00AF41FE">
            <w:pPr>
              <w:jc w:val="center"/>
              <w:rPr>
                <w:lang w:val="tr-TR"/>
              </w:rPr>
            </w:pPr>
          </w:p>
        </w:tc>
        <w:tc>
          <w:tcPr>
            <w:tcW w:w="770" w:type="dxa"/>
          </w:tcPr>
          <w:p w:rsidR="00F94A7D" w:rsidRPr="002432E6" w:rsidRDefault="00F94A7D" w:rsidP="00AF41FE">
            <w:pPr>
              <w:jc w:val="center"/>
              <w:rPr>
                <w:lang w:val="tr-TR"/>
              </w:rPr>
            </w:pPr>
          </w:p>
        </w:tc>
        <w:tc>
          <w:tcPr>
            <w:tcW w:w="770" w:type="dxa"/>
          </w:tcPr>
          <w:p w:rsidR="00F94A7D" w:rsidRPr="002432E6" w:rsidRDefault="00F94A7D" w:rsidP="00AF41FE">
            <w:pPr>
              <w:jc w:val="center"/>
              <w:rPr>
                <w:lang w:val="tr-TR"/>
              </w:rPr>
            </w:pPr>
          </w:p>
        </w:tc>
        <w:tc>
          <w:tcPr>
            <w:tcW w:w="770" w:type="dxa"/>
          </w:tcPr>
          <w:p w:rsidR="00F94A7D" w:rsidRPr="002432E6" w:rsidRDefault="00F94A7D" w:rsidP="00AF41FE">
            <w:pPr>
              <w:jc w:val="center"/>
              <w:rPr>
                <w:lang w:val="tr-TR"/>
              </w:rPr>
            </w:pPr>
          </w:p>
        </w:tc>
        <w:tc>
          <w:tcPr>
            <w:tcW w:w="1910" w:type="dxa"/>
          </w:tcPr>
          <w:p w:rsidR="00F94A7D" w:rsidRPr="002432E6" w:rsidRDefault="00F94A7D" w:rsidP="00AF41FE">
            <w:pPr>
              <w:jc w:val="center"/>
              <w:rPr>
                <w:lang w:val="tr-TR"/>
              </w:rPr>
            </w:pPr>
          </w:p>
        </w:tc>
        <w:tc>
          <w:tcPr>
            <w:tcW w:w="2010" w:type="dxa"/>
          </w:tcPr>
          <w:p w:rsidR="00F94A7D" w:rsidRPr="002432E6" w:rsidRDefault="00F94A7D" w:rsidP="00AF41FE">
            <w:pPr>
              <w:jc w:val="center"/>
              <w:rPr>
                <w:lang w:val="tr-TR"/>
              </w:rPr>
            </w:pPr>
          </w:p>
        </w:tc>
      </w:tr>
    </w:tbl>
    <w:p w:rsidR="00F94A7D" w:rsidRPr="002432E6" w:rsidRDefault="00F94A7D" w:rsidP="00F94A7D">
      <w:pPr>
        <w:jc w:val="center"/>
        <w:rPr>
          <w:lang w:val="tr-TR"/>
        </w:rPr>
      </w:pPr>
    </w:p>
    <w:p w:rsidR="00F94A7D" w:rsidRPr="002432E6" w:rsidRDefault="00F94A7D" w:rsidP="00F94A7D">
      <w:pPr>
        <w:jc w:val="left"/>
        <w:rPr>
          <w:u w:val="single"/>
          <w:lang w:val="tr-TR"/>
        </w:rPr>
      </w:pPr>
      <w:r w:rsidRPr="002432E6">
        <w:rPr>
          <w:lang w:val="tr-TR"/>
        </w:rPr>
        <w:t>Delivery Point (Trading zone):</w:t>
      </w:r>
      <w:r w:rsidRPr="002432E6">
        <w:rPr>
          <w:lang w:val="tr-TR"/>
        </w:rPr>
        <w:tab/>
      </w:r>
      <w:r w:rsidRPr="002432E6">
        <w:rPr>
          <w:u w:val="single"/>
          <w:lang w:val="tr-TR"/>
        </w:rPr>
        <w:tab/>
      </w:r>
    </w:p>
    <w:p w:rsidR="00F94A7D" w:rsidRPr="002432E6" w:rsidRDefault="00F94A7D" w:rsidP="00F94A7D">
      <w:pPr>
        <w:jc w:val="left"/>
        <w:rPr>
          <w:lang w:val="tr-TR"/>
        </w:rPr>
      </w:pPr>
      <w:r w:rsidRPr="002432E6">
        <w:rPr>
          <w:lang w:val="tr-TR"/>
        </w:rPr>
        <w:t xml:space="preserve">Voltage Level: </w:t>
      </w:r>
      <w:r w:rsidRPr="002432E6">
        <w:rPr>
          <w:lang w:val="tr-TR"/>
        </w:rPr>
        <w:tab/>
      </w:r>
      <w:r w:rsidRPr="002432E6">
        <w:rPr>
          <w:u w:val="single"/>
          <w:lang w:val="tr-TR"/>
        </w:rPr>
        <w:tab/>
      </w:r>
    </w:p>
    <w:p w:rsidR="00F94A7D" w:rsidRPr="002432E6" w:rsidRDefault="00F94A7D" w:rsidP="00F94A7D">
      <w:pPr>
        <w:jc w:val="left"/>
        <w:rPr>
          <w:lang w:val="tr-TR"/>
        </w:rPr>
      </w:pPr>
      <w:r w:rsidRPr="002432E6">
        <w:rPr>
          <w:lang w:val="tr-TR"/>
        </w:rPr>
        <w:t xml:space="preserve">Excluded Holidays: </w:t>
      </w:r>
      <w:r w:rsidRPr="002432E6">
        <w:rPr>
          <w:lang w:val="tr-TR"/>
        </w:rPr>
        <w:tab/>
      </w:r>
      <w:r w:rsidRPr="002432E6">
        <w:rPr>
          <w:u w:val="single"/>
          <w:lang w:val="tr-TR"/>
        </w:rPr>
        <w:tab/>
      </w:r>
    </w:p>
    <w:p w:rsidR="00F94A7D" w:rsidRPr="002432E6" w:rsidRDefault="00F94A7D" w:rsidP="00F94A7D">
      <w:pPr>
        <w:jc w:val="left"/>
        <w:rPr>
          <w:lang w:val="tr-TR"/>
        </w:rPr>
      </w:pPr>
      <w:r w:rsidRPr="002432E6">
        <w:rPr>
          <w:lang w:val="tr-TR"/>
        </w:rPr>
        <w:t xml:space="preserve">Other arrangements: </w:t>
      </w:r>
    </w:p>
    <w:p w:rsidR="00F94A7D" w:rsidRPr="009B7BA2" w:rsidRDefault="00F94A7D" w:rsidP="00F94A7D">
      <w:pPr>
        <w:pStyle w:val="Heading1"/>
        <w:tabs>
          <w:tab w:val="left" w:pos="1418"/>
        </w:tabs>
        <w:rPr>
          <w:lang w:val="en-US"/>
        </w:rPr>
      </w:pPr>
      <w:r w:rsidRPr="009B7BA2">
        <w:rPr>
          <w:lang w:val="en-US"/>
        </w:rPr>
        <w:t xml:space="preserve">ARTICLE 3    </w:t>
      </w:r>
      <w:r w:rsidRPr="009B7BA2">
        <w:rPr>
          <w:lang w:val="en-US"/>
        </w:rPr>
        <w:tab/>
        <w:t xml:space="preserve">NOTIFICATIONS MADE TO PMUM </w:t>
      </w:r>
    </w:p>
    <w:p w:rsidR="00F94A7D" w:rsidRPr="009B7BA2" w:rsidRDefault="00F94A7D" w:rsidP="00F94A7D">
      <w:pPr>
        <w:rPr>
          <w:lang w:val="en-US"/>
        </w:rPr>
      </w:pPr>
    </w:p>
    <w:p w:rsidR="00F94A7D" w:rsidRPr="009B7BA2" w:rsidRDefault="00F94A7D" w:rsidP="00F94A7D">
      <w:pPr>
        <w:rPr>
          <w:lang w:val="en-US"/>
        </w:rPr>
      </w:pPr>
      <w:r w:rsidRPr="009B7BA2">
        <w:rPr>
          <w:lang w:val="en-US"/>
        </w:rPr>
        <w:t>The Delivery Point of the electricity is</w:t>
      </w:r>
      <w:r>
        <w:rPr>
          <w:lang w:val="en-US"/>
        </w:rPr>
        <w:t xml:space="preserve"> the</w:t>
      </w:r>
      <w:r w:rsidRPr="009B7BA2">
        <w:rPr>
          <w:lang w:val="en-US"/>
        </w:rPr>
        <w:t xml:space="preserve"> </w:t>
      </w:r>
      <w:r>
        <w:rPr>
          <w:lang w:val="en-US"/>
        </w:rPr>
        <w:t>notional delivery point defined in the Balancing and Settlement Regulation</w:t>
      </w:r>
      <w:r w:rsidRPr="009B7BA2">
        <w:rPr>
          <w:lang w:val="en-US"/>
        </w:rPr>
        <w:t xml:space="preserve">. </w:t>
      </w:r>
    </w:p>
    <w:p w:rsidR="00F94A7D" w:rsidRPr="009B7BA2" w:rsidRDefault="00F94A7D" w:rsidP="00F94A7D">
      <w:pPr>
        <w:rPr>
          <w:lang w:val="en-US"/>
        </w:rPr>
      </w:pPr>
    </w:p>
    <w:p w:rsidR="00F94A7D" w:rsidRDefault="00F94A7D" w:rsidP="00F94A7D">
      <w:pPr>
        <w:rPr>
          <w:lang w:val="en-US"/>
        </w:rPr>
      </w:pPr>
      <w:r w:rsidRPr="009B7BA2">
        <w:rPr>
          <w:lang w:val="en-US"/>
        </w:rPr>
        <w:t xml:space="preserve">The Seller shall be responsible for notifying the electricity </w:t>
      </w:r>
      <w:r>
        <w:rPr>
          <w:lang w:val="en-US"/>
        </w:rPr>
        <w:t>quantitie</w:t>
      </w:r>
      <w:r w:rsidRPr="009B7BA2">
        <w:rPr>
          <w:lang w:val="en-US"/>
        </w:rPr>
        <w:t>s stated in Article 2 Delivery Schedules</w:t>
      </w:r>
      <w:r>
        <w:rPr>
          <w:lang w:val="en-US"/>
        </w:rPr>
        <w:t xml:space="preserve"> (“Contract Quantity”) </w:t>
      </w:r>
      <w:r w:rsidRPr="009B7BA2">
        <w:rPr>
          <w:lang w:val="en-US"/>
        </w:rPr>
        <w:t xml:space="preserve">herein to PMUM. Following the notification of the Contract Quantity in accordance with Article 2 to PMUM, the Buyer shall </w:t>
      </w:r>
      <w:r>
        <w:rPr>
          <w:lang w:val="en-US"/>
        </w:rPr>
        <w:t>approve</w:t>
      </w:r>
      <w:r w:rsidRPr="009B7BA2">
        <w:rPr>
          <w:lang w:val="en-US"/>
        </w:rPr>
        <w:t xml:space="preserve"> such notification. </w:t>
      </w:r>
    </w:p>
    <w:p w:rsidR="00F94A7D" w:rsidRPr="009B7BA2" w:rsidRDefault="00F94A7D" w:rsidP="00F94A7D">
      <w:pPr>
        <w:rPr>
          <w:lang w:val="en-US"/>
        </w:rPr>
      </w:pPr>
    </w:p>
    <w:p w:rsidR="00F94A7D" w:rsidRPr="009B7BA2" w:rsidRDefault="00F94A7D" w:rsidP="00F94A7D">
      <w:pPr>
        <w:rPr>
          <w:lang w:val="en-US"/>
        </w:rPr>
      </w:pPr>
      <w:r>
        <w:rPr>
          <w:lang w:val="en-US"/>
        </w:rPr>
        <w:t xml:space="preserve">[In the event that the electricity quantity notified to PMUM is different than the Contract Quantity, the Contract Quantity shall prevail and the Seller shall be deemed to have failed to deliver in accordance with Article 8 of the General Agreement.]  </w:t>
      </w:r>
    </w:p>
    <w:p w:rsidR="00F94A7D" w:rsidRPr="009B7BA2" w:rsidRDefault="00F94A7D" w:rsidP="00F94A7D">
      <w:pPr>
        <w:pStyle w:val="Heading1"/>
        <w:tabs>
          <w:tab w:val="left" w:pos="1418"/>
        </w:tabs>
        <w:rPr>
          <w:lang w:val="en-US"/>
        </w:rPr>
      </w:pPr>
      <w:r>
        <w:rPr>
          <w:lang w:val="en-US"/>
        </w:rPr>
        <w:t>ARTICLE</w:t>
      </w:r>
      <w:r w:rsidRPr="009B7BA2">
        <w:rPr>
          <w:lang w:val="en-US"/>
        </w:rPr>
        <w:t xml:space="preserve"> 4</w:t>
      </w:r>
      <w:r w:rsidRPr="009B7BA2">
        <w:rPr>
          <w:lang w:val="en-US"/>
        </w:rPr>
        <w:tab/>
      </w:r>
      <w:r>
        <w:rPr>
          <w:lang w:val="en-US"/>
        </w:rPr>
        <w:t>CONTRACT PRICE</w:t>
      </w:r>
    </w:p>
    <w:p w:rsidR="00F94A7D" w:rsidRPr="009B7BA2" w:rsidRDefault="00F94A7D" w:rsidP="00F94A7D">
      <w:pPr>
        <w:rPr>
          <w:lang w:val="en-US"/>
        </w:rPr>
      </w:pPr>
    </w:p>
    <w:p w:rsidR="00F94A7D" w:rsidRPr="009B7BA2" w:rsidRDefault="00F94A7D" w:rsidP="00F94A7D">
      <w:pPr>
        <w:rPr>
          <w:lang w:val="en-US"/>
        </w:rPr>
      </w:pPr>
      <w:r>
        <w:rPr>
          <w:lang w:val="en-US"/>
        </w:rPr>
        <w:t xml:space="preserve">In case of failure to deliver and accept of a Party as explained in Article 8 of the General Agreement, the electricity quantity not delivered or not accepted by the failing Party will be deemed to have been sold/purchased in the market by the other Party at the [System Day Ahead Price/System Marginal Price/ the higher of the System Day Ahead Price and System Marginal Price/ the average of the System Marginal Price] (“Market Price”). Accordingly, in the event of failure to deliver or accept in Article 8 of the General Agreement, the Parties shall take into consideration the Market Price in the formulae used in calculating the price to be paid by the failing Party to the other Party.  </w:t>
      </w:r>
    </w:p>
    <w:p w:rsidR="00F94A7D" w:rsidRPr="009B7BA2" w:rsidRDefault="00F94A7D" w:rsidP="00F94A7D">
      <w:pPr>
        <w:pStyle w:val="Heading1"/>
        <w:tabs>
          <w:tab w:val="left" w:pos="1418"/>
        </w:tabs>
        <w:rPr>
          <w:lang w:val="en-US"/>
        </w:rPr>
      </w:pPr>
      <w:r>
        <w:rPr>
          <w:lang w:val="en-US"/>
        </w:rPr>
        <w:t>ARTICLE</w:t>
      </w:r>
      <w:r w:rsidRPr="009B7BA2">
        <w:rPr>
          <w:lang w:val="en-US"/>
        </w:rPr>
        <w:t xml:space="preserve"> 5</w:t>
      </w:r>
      <w:r w:rsidRPr="009B7BA2">
        <w:rPr>
          <w:lang w:val="en-US"/>
        </w:rPr>
        <w:tab/>
      </w:r>
      <w:r>
        <w:rPr>
          <w:lang w:val="en-US"/>
        </w:rPr>
        <w:t>INVOICING DATE</w:t>
      </w:r>
    </w:p>
    <w:p w:rsidR="00F94A7D" w:rsidRPr="009B7BA2" w:rsidRDefault="00F94A7D" w:rsidP="00F94A7D">
      <w:pPr>
        <w:rPr>
          <w:lang w:val="en-US"/>
        </w:rPr>
      </w:pPr>
    </w:p>
    <w:p w:rsidR="00F94A7D" w:rsidRDefault="00F94A7D" w:rsidP="00F94A7D">
      <w:r>
        <w:rPr>
          <w:lang w:val="en-US"/>
        </w:rPr>
        <w:t xml:space="preserve">The Seller shall issue the invoice </w:t>
      </w:r>
      <w:r w:rsidRPr="009C236F">
        <w:t xml:space="preserve">setting forth the total quantities of electricity that were sold by it </w:t>
      </w:r>
      <w:proofErr w:type="gramStart"/>
      <w:r w:rsidRPr="009C236F">
        <w:t xml:space="preserve">in </w:t>
      </w:r>
      <w:r>
        <w:t xml:space="preserve"> a</w:t>
      </w:r>
      <w:proofErr w:type="gramEnd"/>
      <w:r w:rsidRPr="009C236F">
        <w:t xml:space="preserve"> calendar month</w:t>
      </w:r>
      <w:r>
        <w:t>, on the last day of such month and shall send such invoice to the Buyer within five (5) days from the invoice date</w:t>
      </w:r>
      <w:r w:rsidRPr="009C236F">
        <w:t xml:space="preserve">. </w:t>
      </w:r>
    </w:p>
    <w:p w:rsidR="00F94A7D" w:rsidRPr="00224DFE" w:rsidRDefault="00F94A7D" w:rsidP="00F94A7D">
      <w:pPr>
        <w:keepNext/>
        <w:keepLines/>
        <w:tabs>
          <w:tab w:val="left" w:pos="1418"/>
        </w:tabs>
        <w:spacing w:before="480" w:after="0"/>
        <w:jc w:val="left"/>
        <w:outlineLvl w:val="0"/>
        <w:rPr>
          <w:rFonts w:ascii="Garamond" w:hAnsi="Garamond"/>
          <w:b/>
          <w:bCs/>
          <w:sz w:val="24"/>
          <w:szCs w:val="28"/>
          <w:lang w:val="en-US"/>
        </w:rPr>
      </w:pPr>
      <w:r w:rsidRPr="00224DFE">
        <w:rPr>
          <w:rFonts w:ascii="Garamond" w:hAnsi="Garamond"/>
          <w:b/>
          <w:bCs/>
          <w:sz w:val="24"/>
          <w:szCs w:val="28"/>
          <w:lang w:val="en-US"/>
        </w:rPr>
        <w:t xml:space="preserve">ARTICLE 6 </w:t>
      </w:r>
      <w:r w:rsidRPr="00224DFE">
        <w:rPr>
          <w:rFonts w:ascii="Garamond" w:hAnsi="Garamond"/>
          <w:b/>
          <w:bCs/>
          <w:sz w:val="24"/>
          <w:szCs w:val="28"/>
          <w:lang w:val="en-US"/>
        </w:rPr>
        <w:tab/>
        <w:t>STAMP TAX</w:t>
      </w:r>
    </w:p>
    <w:p w:rsidR="00F94A7D" w:rsidRPr="00224DFE" w:rsidRDefault="00F94A7D" w:rsidP="00F94A7D">
      <w:pPr>
        <w:rPr>
          <w:lang w:val="en-US"/>
        </w:rPr>
      </w:pPr>
    </w:p>
    <w:p w:rsidR="00F94A7D" w:rsidRPr="00224DFE" w:rsidRDefault="00F94A7D" w:rsidP="00F94A7D">
      <w:pPr>
        <w:rPr>
          <w:lang w:val="en-US"/>
        </w:rPr>
      </w:pPr>
      <w:r w:rsidRPr="00224DFE">
        <w:rPr>
          <w:lang w:val="en-US"/>
        </w:rPr>
        <w:t>The stamp tax arising out of this Individual Contract shall be borne by [</w:t>
      </w:r>
      <w:r w:rsidRPr="00713550">
        <w:rPr>
          <w:rFonts w:ascii="Garamond" w:hAnsi="Garamond"/>
          <w:lang w:val="en-US"/>
        </w:rPr>
        <w:t>●</w:t>
      </w:r>
      <w:r w:rsidRPr="00224DFE">
        <w:rPr>
          <w:lang w:val="en-US"/>
        </w:rPr>
        <w:t>].</w:t>
      </w:r>
    </w:p>
    <w:p w:rsidR="00F94A7D" w:rsidRPr="00185F51" w:rsidRDefault="00F94A7D" w:rsidP="00F94A7D">
      <w:pPr>
        <w:rPr>
          <w:lang w:val="en-US"/>
        </w:rPr>
      </w:pPr>
    </w:p>
    <w:p w:rsidR="00F94A7D" w:rsidRPr="00684B11" w:rsidRDefault="00F94A7D" w:rsidP="00F94A7D">
      <w:pPr>
        <w:rPr>
          <w:lang w:val="en-US"/>
        </w:rPr>
      </w:pPr>
      <w:r w:rsidRPr="00684B11">
        <w:rPr>
          <w:lang w:val="en-US"/>
        </w:rPr>
        <w:t>This Individual Contract was signed on [</w:t>
      </w:r>
      <w:r w:rsidRPr="00684B11">
        <w:rPr>
          <w:rFonts w:ascii="Garamond" w:hAnsi="Garamond"/>
          <w:lang w:val="en-US"/>
        </w:rPr>
        <w:t>●</w:t>
      </w:r>
      <w:r w:rsidRPr="00684B11">
        <w:rPr>
          <w:lang w:val="en-US"/>
        </w:rPr>
        <w:t xml:space="preserve">] as one original and the original shall be kept with the </w:t>
      </w:r>
      <w:r>
        <w:rPr>
          <w:lang w:val="en-US"/>
        </w:rPr>
        <w:t>[</w:t>
      </w:r>
      <w:r w:rsidRPr="00713550">
        <w:rPr>
          <w:rFonts w:ascii="Garamond" w:hAnsi="Garamond"/>
          <w:lang w:val="en-US"/>
        </w:rPr>
        <w:t>●</w:t>
      </w:r>
      <w:r>
        <w:rPr>
          <w:lang w:val="en-US"/>
        </w:rPr>
        <w:t>]</w:t>
      </w:r>
      <w:r w:rsidRPr="00684B11">
        <w:rPr>
          <w:lang w:val="en-US"/>
        </w:rPr>
        <w:t xml:space="preserve">. </w:t>
      </w:r>
    </w:p>
    <w:p w:rsidR="00F94A7D" w:rsidRPr="00185F51" w:rsidRDefault="00F94A7D" w:rsidP="00F94A7D">
      <w:pPr>
        <w:jc w:val="center"/>
        <w:rPr>
          <w:lang w:val="en-US"/>
        </w:rPr>
      </w:pPr>
    </w:p>
    <w:p w:rsidR="00F94A7D" w:rsidRDefault="00F94A7D" w:rsidP="00F94A7D">
      <w:pPr>
        <w:jc w:val="center"/>
        <w:rPr>
          <w:u w:val="single"/>
          <w:lang w:val="tr-TR"/>
        </w:rPr>
      </w:pPr>
      <w:r w:rsidRPr="002432E6">
        <w:rPr>
          <w:lang w:val="tr-TR"/>
        </w:rPr>
        <w:t>Date:</w:t>
      </w:r>
      <w:r w:rsidRPr="002432E6">
        <w:rPr>
          <w:u w:val="single"/>
          <w:lang w:val="tr-TR"/>
        </w:rPr>
        <w:tab/>
      </w:r>
      <w:r>
        <w:rPr>
          <w:u w:val="single"/>
          <w:lang w:val="tr-TR"/>
        </w:rPr>
        <w:t xml:space="preserve">       </w:t>
      </w:r>
      <w:r w:rsidRPr="002432E6">
        <w:rPr>
          <w:lang w:val="tr-TR"/>
        </w:rPr>
        <w:tab/>
        <w:t>Signature:</w:t>
      </w:r>
      <w:r w:rsidRPr="002432E6">
        <w:rPr>
          <w:u w:val="single"/>
          <w:lang w:val="tr-TR"/>
        </w:rPr>
        <w:tab/>
      </w:r>
    </w:p>
    <w:p w:rsidR="00F94A7D" w:rsidRDefault="00F94A7D" w:rsidP="00F94A7D">
      <w:pPr>
        <w:jc w:val="center"/>
        <w:rPr>
          <w:u w:val="single"/>
          <w:lang w:val="tr-TR"/>
        </w:rPr>
      </w:pPr>
    </w:p>
    <w:p w:rsidR="00F94A7D" w:rsidRDefault="00F94A7D" w:rsidP="00F94A7D">
      <w:pPr>
        <w:jc w:val="center"/>
        <w:rPr>
          <w:u w:val="single"/>
          <w:lang w:val="tr-TR"/>
        </w:rPr>
      </w:pPr>
    </w:p>
    <w:p w:rsidR="00F94A7D" w:rsidRDefault="00F94A7D" w:rsidP="00F94A7D">
      <w:pPr>
        <w:jc w:val="center"/>
        <w:rPr>
          <w:u w:val="single"/>
          <w:lang w:val="tr-TR"/>
        </w:rPr>
      </w:pPr>
    </w:p>
    <w:p w:rsidR="00F94A7D" w:rsidRDefault="00F94A7D" w:rsidP="00F94A7D">
      <w:pPr>
        <w:jc w:val="center"/>
        <w:rPr>
          <w:u w:val="single"/>
          <w:lang w:val="tr-TR"/>
        </w:rPr>
      </w:pPr>
    </w:p>
    <w:p w:rsidR="00F94A7D" w:rsidRDefault="00F94A7D" w:rsidP="00F94A7D">
      <w:pPr>
        <w:jc w:val="center"/>
        <w:rPr>
          <w:u w:val="single"/>
          <w:lang w:val="tr-TR"/>
        </w:rPr>
      </w:pPr>
    </w:p>
    <w:p w:rsidR="00F94A7D" w:rsidRPr="002432E6" w:rsidRDefault="00F94A7D" w:rsidP="00F94A7D">
      <w:pPr>
        <w:jc w:val="center"/>
        <w:rPr>
          <w:bCs/>
          <w:sz w:val="44"/>
          <w:szCs w:val="44"/>
          <w:lang w:val="tr-TR"/>
        </w:rPr>
      </w:pPr>
      <w:r w:rsidRPr="002432E6">
        <w:rPr>
          <w:b/>
          <w:sz w:val="44"/>
          <w:szCs w:val="44"/>
          <w:lang w:val="tr-TR"/>
        </w:rPr>
        <w:t>EFET</w:t>
      </w:r>
    </w:p>
    <w:p w:rsidR="00F94A7D" w:rsidRPr="002432E6" w:rsidRDefault="00F94A7D" w:rsidP="00F94A7D">
      <w:pPr>
        <w:jc w:val="center"/>
        <w:rPr>
          <w:b/>
          <w:bCs/>
          <w:sz w:val="22"/>
          <w:szCs w:val="22"/>
          <w:lang w:val="tr-TR"/>
        </w:rPr>
      </w:pPr>
    </w:p>
    <w:p w:rsidR="00F94A7D" w:rsidRPr="002432E6" w:rsidRDefault="00F94A7D" w:rsidP="00F94A7D">
      <w:pPr>
        <w:jc w:val="center"/>
        <w:rPr>
          <w:b/>
          <w:bCs/>
          <w:sz w:val="36"/>
          <w:szCs w:val="36"/>
          <w:lang w:val="tr-TR"/>
        </w:rPr>
      </w:pPr>
      <w:r w:rsidRPr="002432E6">
        <w:rPr>
          <w:b/>
          <w:bCs/>
          <w:sz w:val="36"/>
          <w:szCs w:val="36"/>
          <w:lang w:val="tr-TR"/>
        </w:rPr>
        <w:t>Avrupa Enerji Tacirl</w:t>
      </w:r>
      <w:r>
        <w:rPr>
          <w:b/>
          <w:bCs/>
          <w:sz w:val="36"/>
          <w:szCs w:val="36"/>
          <w:lang w:val="tr-TR"/>
        </w:rPr>
        <w:t>eri</w:t>
      </w:r>
      <w:r w:rsidRPr="002432E6">
        <w:rPr>
          <w:b/>
          <w:bCs/>
          <w:sz w:val="36"/>
          <w:szCs w:val="36"/>
          <w:lang w:val="tr-TR"/>
        </w:rPr>
        <w:t xml:space="preserve"> Federasyonu</w:t>
      </w:r>
    </w:p>
    <w:p w:rsidR="00F94A7D" w:rsidRPr="002432E6" w:rsidRDefault="00F94A7D" w:rsidP="00F94A7D">
      <w:pPr>
        <w:jc w:val="center"/>
        <w:rPr>
          <w:b/>
          <w:bCs/>
          <w:sz w:val="28"/>
          <w:szCs w:val="28"/>
          <w:lang w:val="tr-TR"/>
        </w:rPr>
      </w:pPr>
      <w:r w:rsidRPr="002432E6">
        <w:rPr>
          <w:b/>
          <w:bCs/>
          <w:sz w:val="28"/>
          <w:szCs w:val="28"/>
          <w:lang w:val="tr-TR"/>
        </w:rPr>
        <w:t>Genel Sözleşme</w:t>
      </w:r>
    </w:p>
    <w:p w:rsidR="00F94A7D" w:rsidRPr="002432E6" w:rsidRDefault="00F94A7D" w:rsidP="00F94A7D">
      <w:pPr>
        <w:jc w:val="center"/>
        <w:rPr>
          <w:b/>
          <w:bCs/>
          <w:sz w:val="28"/>
          <w:szCs w:val="28"/>
          <w:lang w:val="tr-TR"/>
        </w:rPr>
      </w:pPr>
      <w:r w:rsidRPr="002432E6">
        <w:rPr>
          <w:b/>
          <w:bCs/>
          <w:sz w:val="28"/>
          <w:szCs w:val="28"/>
          <w:lang w:val="tr-TR"/>
        </w:rPr>
        <w:t>Ek 2d</w:t>
      </w:r>
    </w:p>
    <w:p w:rsidR="00F94A7D" w:rsidRPr="002432E6" w:rsidRDefault="00F94A7D" w:rsidP="00F94A7D">
      <w:pPr>
        <w:jc w:val="center"/>
        <w:rPr>
          <w:b/>
          <w:bCs/>
          <w:i/>
          <w:iCs/>
          <w:sz w:val="22"/>
          <w:szCs w:val="22"/>
          <w:u w:val="single"/>
          <w:lang w:val="tr-TR"/>
        </w:rPr>
      </w:pPr>
      <w:r w:rsidRPr="002432E6">
        <w:rPr>
          <w:b/>
          <w:bCs/>
          <w:i/>
          <w:iCs/>
          <w:sz w:val="28"/>
          <w:szCs w:val="28"/>
          <w:u w:val="single"/>
          <w:lang w:val="tr-TR"/>
        </w:rPr>
        <w:t>(Satma Opsiyonu)</w:t>
      </w:r>
    </w:p>
    <w:p w:rsidR="00F94A7D" w:rsidRDefault="00F94A7D" w:rsidP="00F94A7D">
      <w:pPr>
        <w:shd w:val="clear" w:color="auto" w:fill="FFFFFF"/>
        <w:spacing w:before="72"/>
        <w:jc w:val="center"/>
        <w:rPr>
          <w:b/>
          <w:bCs/>
          <w:sz w:val="28"/>
          <w:szCs w:val="28"/>
          <w:u w:val="single"/>
          <w:lang w:val="tr-TR"/>
        </w:rPr>
      </w:pPr>
      <w:r w:rsidRPr="002432E6">
        <w:rPr>
          <w:b/>
          <w:bCs/>
          <w:sz w:val="28"/>
          <w:szCs w:val="28"/>
          <w:u w:val="single"/>
          <w:lang w:val="tr-TR"/>
        </w:rPr>
        <w:t xml:space="preserve">Münferit Sözleşme </w:t>
      </w:r>
    </w:p>
    <w:p w:rsidR="00F94A7D" w:rsidRPr="002432E6" w:rsidRDefault="00F94A7D" w:rsidP="00F94A7D">
      <w:pPr>
        <w:shd w:val="clear" w:color="auto" w:fill="FFFFFF"/>
        <w:spacing w:before="72"/>
        <w:jc w:val="center"/>
        <w:rPr>
          <w:b/>
          <w:bCs/>
          <w:sz w:val="28"/>
          <w:szCs w:val="28"/>
          <w:u w:val="single"/>
          <w:lang w:val="tr-TR"/>
        </w:rPr>
      </w:pPr>
    </w:p>
    <w:p w:rsidR="00F94A7D" w:rsidRDefault="00F94A7D" w:rsidP="00F94A7D">
      <w:pPr>
        <w:shd w:val="clear" w:color="auto" w:fill="FFFFFF"/>
        <w:rPr>
          <w:lang w:val="tr-TR"/>
        </w:rPr>
      </w:pPr>
      <w:r w:rsidRPr="00347AED">
        <w:rPr>
          <w:lang w:val="tr-TR"/>
        </w:rPr>
        <w:t xml:space="preserve">İşbu </w:t>
      </w:r>
      <w:r>
        <w:rPr>
          <w:lang w:val="tr-TR"/>
        </w:rPr>
        <w:t>Münferit Sözleşme (“Münferit Sözleşme”)</w:t>
      </w:r>
      <w:r w:rsidRPr="00347AED">
        <w:rPr>
          <w:lang w:val="tr-TR"/>
        </w:rPr>
        <w:t xml:space="preserve">, </w:t>
      </w:r>
      <w:r>
        <w:rPr>
          <w:lang w:val="tr-TR"/>
        </w:rPr>
        <w:t>merkezi [</w:t>
      </w:r>
      <w:r>
        <w:rPr>
          <w:rFonts w:ascii="Garamond" w:hAnsi="Garamond"/>
          <w:lang w:val="tr-TR"/>
        </w:rPr>
        <w:t>●</w:t>
      </w:r>
      <w:r>
        <w:rPr>
          <w:lang w:val="tr-TR"/>
        </w:rPr>
        <w:t>]’de bulunan [</w:t>
      </w:r>
      <w:r>
        <w:rPr>
          <w:rFonts w:ascii="Garamond" w:hAnsi="Garamond"/>
          <w:lang w:val="tr-TR"/>
        </w:rPr>
        <w:t>●</w:t>
      </w:r>
      <w:r>
        <w:rPr>
          <w:lang w:val="tr-TR"/>
        </w:rPr>
        <w:t>] (“Opsiyon Satıcısı”) ve merkezi [</w:t>
      </w:r>
      <w:r>
        <w:rPr>
          <w:rFonts w:ascii="Garamond" w:hAnsi="Garamond"/>
          <w:lang w:val="tr-TR"/>
        </w:rPr>
        <w:t>●</w:t>
      </w:r>
      <w:r>
        <w:rPr>
          <w:lang w:val="tr-TR"/>
        </w:rPr>
        <w:t>]’de bulunan  [</w:t>
      </w:r>
      <w:r>
        <w:rPr>
          <w:rFonts w:ascii="Garamond" w:hAnsi="Garamond"/>
          <w:lang w:val="tr-TR"/>
        </w:rPr>
        <w:t>●</w:t>
      </w:r>
      <w:r>
        <w:rPr>
          <w:lang w:val="tr-TR"/>
        </w:rPr>
        <w:t>] (“Opsiyon Sahibi”) arasında [</w:t>
      </w:r>
      <w:r>
        <w:rPr>
          <w:rFonts w:ascii="Garamond" w:hAnsi="Garamond"/>
          <w:lang w:val="tr-TR"/>
        </w:rPr>
        <w:t>●</w:t>
      </w:r>
      <w:r>
        <w:rPr>
          <w:lang w:val="tr-TR"/>
        </w:rPr>
        <w:t>] tarihinde saat [</w:t>
      </w:r>
      <w:r>
        <w:rPr>
          <w:rFonts w:ascii="Garamond" w:hAnsi="Garamond"/>
          <w:lang w:val="tr-TR"/>
        </w:rPr>
        <w:t>●</w:t>
      </w:r>
      <w:r>
        <w:rPr>
          <w:lang w:val="tr-TR"/>
        </w:rPr>
        <w:t>]’de  imzalanmış olup, [</w:t>
      </w:r>
      <w:r>
        <w:rPr>
          <w:rFonts w:ascii="Garamond" w:hAnsi="Garamond"/>
          <w:lang w:val="tr-TR"/>
        </w:rPr>
        <w:t>●</w:t>
      </w:r>
      <w:r>
        <w:rPr>
          <w:lang w:val="tr-TR"/>
        </w:rPr>
        <w:t>] tarihinde imzalanmış olan</w:t>
      </w:r>
      <w:r w:rsidRPr="00347AED">
        <w:rPr>
          <w:lang w:val="tr-TR"/>
        </w:rPr>
        <w:t xml:space="preserve"> Elektrik Teslimi’ne ilişkin EFET Genel Sözleşmesi</w:t>
      </w:r>
      <w:r>
        <w:rPr>
          <w:lang w:val="tr-TR"/>
        </w:rPr>
        <w:t>’nin</w:t>
      </w:r>
      <w:r w:rsidRPr="00347AED">
        <w:rPr>
          <w:lang w:val="tr-TR"/>
        </w:rPr>
        <w:t xml:space="preserve"> (</w:t>
      </w:r>
      <w:r>
        <w:rPr>
          <w:lang w:val="tr-TR"/>
        </w:rPr>
        <w:t>“</w:t>
      </w:r>
      <w:r w:rsidRPr="00347AED">
        <w:rPr>
          <w:lang w:val="tr-TR"/>
        </w:rPr>
        <w:t>Genel Sözleşme</w:t>
      </w:r>
      <w:r>
        <w:rPr>
          <w:lang w:val="tr-TR"/>
        </w:rPr>
        <w:t>”</w:t>
      </w:r>
      <w:r w:rsidRPr="00347AED">
        <w:rPr>
          <w:lang w:val="tr-TR"/>
        </w:rPr>
        <w:t>)</w:t>
      </w:r>
      <w:r>
        <w:rPr>
          <w:lang w:val="tr-TR"/>
        </w:rPr>
        <w:t xml:space="preserve"> bir parçasını teşkil etmektedir.</w:t>
      </w:r>
    </w:p>
    <w:p w:rsidR="00F94A7D" w:rsidRDefault="00F94A7D" w:rsidP="00F94A7D">
      <w:pPr>
        <w:shd w:val="clear" w:color="auto" w:fill="FFFFFF"/>
        <w:rPr>
          <w:lang w:val="tr-TR"/>
        </w:rPr>
      </w:pPr>
    </w:p>
    <w:p w:rsidR="00F94A7D" w:rsidRPr="00347AED" w:rsidRDefault="00F94A7D" w:rsidP="00F94A7D">
      <w:pPr>
        <w:shd w:val="clear" w:color="auto" w:fill="FFFFFF"/>
        <w:rPr>
          <w:lang w:val="tr-TR"/>
        </w:rPr>
      </w:pPr>
      <w:r>
        <w:rPr>
          <w:lang w:val="tr-TR"/>
        </w:rPr>
        <w:t>Bundan böyle [</w:t>
      </w:r>
      <w:r>
        <w:rPr>
          <w:rFonts w:ascii="Garamond" w:hAnsi="Garamond"/>
          <w:lang w:val="tr-TR"/>
        </w:rPr>
        <w:t>●</w:t>
      </w:r>
      <w:r>
        <w:rPr>
          <w:lang w:val="tr-TR"/>
        </w:rPr>
        <w:t>] ve [</w:t>
      </w:r>
      <w:r>
        <w:rPr>
          <w:rFonts w:ascii="Garamond" w:hAnsi="Garamond"/>
          <w:lang w:val="tr-TR"/>
        </w:rPr>
        <w:t>●</w:t>
      </w:r>
      <w:r>
        <w:rPr>
          <w:lang w:val="tr-TR"/>
        </w:rPr>
        <w:t xml:space="preserve">] ayrı ayrı “Taraf” ve birlikte ise “Taraflar” olarak anılacaktır. Opsiyon Satıcısı ve Opsiyon Sahibi, Opsiyon’un kullanılması halinde, duruma göre Alıcı ve Satıcı olarak anılabilirler.  </w:t>
      </w:r>
      <w:r w:rsidRPr="00347AED">
        <w:rPr>
          <w:lang w:val="tr-TR"/>
        </w:rPr>
        <w:t xml:space="preserve"> </w:t>
      </w:r>
      <w:r>
        <w:rPr>
          <w:lang w:val="tr-TR"/>
        </w:rPr>
        <w:t xml:space="preserve"> </w:t>
      </w:r>
    </w:p>
    <w:p w:rsidR="00F94A7D" w:rsidRDefault="00F94A7D" w:rsidP="00F94A7D">
      <w:pPr>
        <w:pStyle w:val="Heading1"/>
        <w:rPr>
          <w:lang w:val="tr-TR"/>
        </w:rPr>
      </w:pPr>
      <w:r w:rsidRPr="00BC437E">
        <w:rPr>
          <w:lang w:val="tr-TR"/>
        </w:rPr>
        <w:t>MADDE 1</w:t>
      </w:r>
      <w:r>
        <w:rPr>
          <w:lang w:val="tr-TR"/>
        </w:rPr>
        <w:tab/>
        <w:t xml:space="preserve"> SÖZLEŞMENİN KONUSU</w:t>
      </w:r>
    </w:p>
    <w:p w:rsidR="00F94A7D" w:rsidRDefault="00F94A7D" w:rsidP="00F94A7D">
      <w:pPr>
        <w:rPr>
          <w:lang w:val="tr-TR"/>
        </w:rPr>
      </w:pPr>
    </w:p>
    <w:p w:rsidR="00F94A7D" w:rsidRDefault="00F94A7D" w:rsidP="00F94A7D">
      <w:pPr>
        <w:rPr>
          <w:lang w:val="tr-TR"/>
        </w:rPr>
      </w:pPr>
      <w:r>
        <w:rPr>
          <w:lang w:val="tr-TR"/>
        </w:rPr>
        <w:t xml:space="preserve">İşbu Sözleşme ile Opsiyon Satıcısı, Opsiyon Alıcısı’na </w:t>
      </w:r>
      <w:r w:rsidRPr="00185F51">
        <w:rPr>
          <w:lang w:val="tr-TR"/>
        </w:rPr>
        <w:t xml:space="preserve">elektrik </w:t>
      </w:r>
      <w:r>
        <w:rPr>
          <w:lang w:val="tr-TR"/>
        </w:rPr>
        <w:t>satımına yönelik, detayları aşağıda Madde 2’de belirtildiği şekilde</w:t>
      </w:r>
      <w:r w:rsidRPr="00185F51">
        <w:rPr>
          <w:lang w:val="tr-TR"/>
        </w:rPr>
        <w:t xml:space="preserve"> </w:t>
      </w:r>
      <w:r>
        <w:rPr>
          <w:lang w:val="tr-TR"/>
        </w:rPr>
        <w:t>f</w:t>
      </w:r>
      <w:r w:rsidRPr="00185F51">
        <w:rPr>
          <w:lang w:val="tr-TR"/>
        </w:rPr>
        <w:t>iziksel bir opsiyon</w:t>
      </w:r>
      <w:r>
        <w:rPr>
          <w:lang w:val="tr-TR"/>
        </w:rPr>
        <w:t xml:space="preserve"> </w:t>
      </w:r>
      <w:r w:rsidRPr="00185F51">
        <w:rPr>
          <w:lang w:val="tr-TR"/>
        </w:rPr>
        <w:t>(“</w:t>
      </w:r>
      <w:r w:rsidRPr="00185F51">
        <w:rPr>
          <w:b/>
          <w:lang w:val="tr-TR"/>
        </w:rPr>
        <w:t>Sat</w:t>
      </w:r>
      <w:r>
        <w:rPr>
          <w:b/>
          <w:lang w:val="tr-TR"/>
        </w:rPr>
        <w:t xml:space="preserve">ma </w:t>
      </w:r>
      <w:r w:rsidRPr="00185F51">
        <w:rPr>
          <w:b/>
          <w:lang w:val="tr-TR"/>
        </w:rPr>
        <w:t>Opsiyonu</w:t>
      </w:r>
      <w:r w:rsidRPr="00185F51">
        <w:rPr>
          <w:lang w:val="tr-TR"/>
        </w:rPr>
        <w:t xml:space="preserve">”) </w:t>
      </w:r>
      <w:r>
        <w:rPr>
          <w:lang w:val="tr-TR"/>
        </w:rPr>
        <w:t xml:space="preserve">tanımaktadır. </w:t>
      </w:r>
      <w:r>
        <w:rPr>
          <w:lang w:val="tr-TR"/>
        </w:rPr>
        <w:tab/>
      </w:r>
      <w:r>
        <w:rPr>
          <w:lang w:val="tr-TR"/>
        </w:rPr>
        <w:tab/>
      </w:r>
    </w:p>
    <w:p w:rsidR="00F94A7D" w:rsidRPr="00BC437E" w:rsidRDefault="00F94A7D" w:rsidP="00F94A7D">
      <w:pPr>
        <w:pStyle w:val="Heading1"/>
        <w:rPr>
          <w:lang w:val="tr-TR"/>
        </w:rPr>
      </w:pPr>
      <w:r>
        <w:rPr>
          <w:lang w:val="tr-TR"/>
        </w:rPr>
        <w:t>MADDE 2</w:t>
      </w:r>
      <w:r>
        <w:rPr>
          <w:lang w:val="tr-TR"/>
        </w:rPr>
        <w:tab/>
        <w:t xml:space="preserve">OPSİYON DETAYLARI VE </w:t>
      </w:r>
      <w:r w:rsidRPr="00BC437E">
        <w:rPr>
          <w:lang w:val="tr-TR"/>
        </w:rPr>
        <w:t xml:space="preserve">TESLİMAT PROGRAMI </w:t>
      </w:r>
    </w:p>
    <w:p w:rsidR="00F94A7D" w:rsidRPr="00BC437E" w:rsidRDefault="00F94A7D" w:rsidP="00F94A7D">
      <w:pPr>
        <w:rPr>
          <w:lang w:val="tr-TR"/>
        </w:rPr>
      </w:pPr>
    </w:p>
    <w:p w:rsidR="00F94A7D" w:rsidRPr="002432E6" w:rsidRDefault="00F94A7D" w:rsidP="00F94A7D">
      <w:pPr>
        <w:shd w:val="clear" w:color="auto" w:fill="FFFFFF"/>
        <w:spacing w:line="360" w:lineRule="auto"/>
        <w:rPr>
          <w:lang w:val="tr-TR"/>
        </w:rPr>
      </w:pPr>
      <w:r w:rsidRPr="002432E6">
        <w:rPr>
          <w:lang w:val="tr-TR"/>
        </w:rPr>
        <w:t>Opsiyon Detayları:</w:t>
      </w:r>
    </w:p>
    <w:p w:rsidR="00F94A7D" w:rsidRPr="002432E6" w:rsidRDefault="00F94A7D" w:rsidP="00F94A7D">
      <w:pPr>
        <w:widowControl w:val="0"/>
        <w:numPr>
          <w:ilvl w:val="0"/>
          <w:numId w:val="2"/>
        </w:numPr>
        <w:shd w:val="clear" w:color="auto" w:fill="FFFFFF"/>
        <w:tabs>
          <w:tab w:val="right" w:pos="851"/>
        </w:tabs>
        <w:autoSpaceDE w:val="0"/>
        <w:autoSpaceDN w:val="0"/>
        <w:spacing w:after="0" w:line="360" w:lineRule="auto"/>
        <w:jc w:val="left"/>
        <w:rPr>
          <w:lang w:val="tr-TR"/>
        </w:rPr>
      </w:pPr>
      <w:r w:rsidRPr="002432E6">
        <w:rPr>
          <w:lang w:val="tr-TR"/>
        </w:rPr>
        <w:t>Opsiyon Türü:</w:t>
      </w:r>
      <w:r w:rsidRPr="002432E6">
        <w:rPr>
          <w:lang w:val="tr-TR"/>
        </w:rPr>
        <w:tab/>
        <w:t>Satma</w:t>
      </w:r>
    </w:p>
    <w:p w:rsidR="00F94A7D" w:rsidRPr="002432E6" w:rsidRDefault="00F94A7D" w:rsidP="00F94A7D">
      <w:pPr>
        <w:widowControl w:val="0"/>
        <w:numPr>
          <w:ilvl w:val="0"/>
          <w:numId w:val="2"/>
        </w:numPr>
        <w:shd w:val="clear" w:color="auto" w:fill="FFFFFF"/>
        <w:autoSpaceDE w:val="0"/>
        <w:autoSpaceDN w:val="0"/>
        <w:spacing w:after="0" w:line="360" w:lineRule="auto"/>
        <w:jc w:val="left"/>
        <w:rPr>
          <w:lang w:val="tr-TR"/>
        </w:rPr>
      </w:pPr>
      <w:r w:rsidRPr="002432E6">
        <w:rPr>
          <w:lang w:val="tr-TR"/>
        </w:rPr>
        <w:t>Kullanma Vadesi Sonu:</w:t>
      </w:r>
    </w:p>
    <w:p w:rsidR="00F94A7D" w:rsidRPr="002432E6" w:rsidRDefault="00F94A7D" w:rsidP="00F94A7D">
      <w:pPr>
        <w:widowControl w:val="0"/>
        <w:numPr>
          <w:ilvl w:val="0"/>
          <w:numId w:val="2"/>
        </w:numPr>
        <w:shd w:val="clear" w:color="auto" w:fill="FFFFFF"/>
        <w:autoSpaceDE w:val="0"/>
        <w:autoSpaceDN w:val="0"/>
        <w:spacing w:after="0" w:line="360" w:lineRule="auto"/>
        <w:jc w:val="left"/>
        <w:rPr>
          <w:lang w:val="tr-TR"/>
        </w:rPr>
      </w:pPr>
      <w:r w:rsidRPr="002432E6">
        <w:rPr>
          <w:lang w:val="tr-TR"/>
        </w:rPr>
        <w:t>Prim:</w:t>
      </w:r>
    </w:p>
    <w:p w:rsidR="00F94A7D" w:rsidRPr="002432E6" w:rsidRDefault="00F94A7D" w:rsidP="00F94A7D">
      <w:pPr>
        <w:widowControl w:val="0"/>
        <w:numPr>
          <w:ilvl w:val="0"/>
          <w:numId w:val="2"/>
        </w:numPr>
        <w:shd w:val="clear" w:color="auto" w:fill="FFFFFF"/>
        <w:autoSpaceDE w:val="0"/>
        <w:autoSpaceDN w:val="0"/>
        <w:spacing w:after="0" w:line="360" w:lineRule="auto"/>
        <w:jc w:val="left"/>
        <w:rPr>
          <w:lang w:val="tr-TR"/>
        </w:rPr>
      </w:pPr>
      <w:r w:rsidRPr="002432E6">
        <w:rPr>
          <w:lang w:val="tr-TR"/>
        </w:rPr>
        <w:t>Prim Ödeme Günü:</w:t>
      </w:r>
    </w:p>
    <w:p w:rsidR="00F94A7D" w:rsidRPr="002432E6" w:rsidRDefault="00F94A7D" w:rsidP="00F94A7D">
      <w:pPr>
        <w:shd w:val="clear" w:color="auto" w:fill="FFFFFF"/>
        <w:rPr>
          <w:lang w:val="tr-TR"/>
        </w:rPr>
      </w:pPr>
      <w:r w:rsidRPr="002432E6">
        <w:rPr>
          <w:lang w:val="tr-TR"/>
        </w:rPr>
        <w:t>Teslim</w:t>
      </w:r>
      <w:r>
        <w:rPr>
          <w:lang w:val="tr-TR"/>
        </w:rPr>
        <w:t>at Programı</w:t>
      </w:r>
      <w:r w:rsidRPr="002432E6">
        <w:rPr>
          <w:lang w:val="tr-TR"/>
        </w:rPr>
        <w:t>:</w:t>
      </w:r>
    </w:p>
    <w:tbl>
      <w:tblPr>
        <w:tblW w:w="9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70"/>
        <w:gridCol w:w="1100"/>
        <w:gridCol w:w="777"/>
        <w:gridCol w:w="992"/>
        <w:gridCol w:w="1091"/>
        <w:gridCol w:w="1540"/>
        <w:gridCol w:w="1622"/>
        <w:gridCol w:w="1018"/>
      </w:tblGrid>
      <w:tr w:rsidR="00F94A7D" w:rsidRPr="007B652F" w:rsidTr="00AF41FE">
        <w:tc>
          <w:tcPr>
            <w:tcW w:w="1170" w:type="dxa"/>
          </w:tcPr>
          <w:p w:rsidR="00F94A7D" w:rsidRPr="002432E6" w:rsidRDefault="00F94A7D" w:rsidP="00AF41FE">
            <w:pPr>
              <w:jc w:val="center"/>
              <w:rPr>
                <w:lang w:val="tr-TR"/>
              </w:rPr>
            </w:pPr>
            <w:r w:rsidRPr="002432E6">
              <w:rPr>
                <w:lang w:val="tr-TR"/>
              </w:rPr>
              <w:t>İlk Tarih</w:t>
            </w:r>
          </w:p>
        </w:tc>
        <w:tc>
          <w:tcPr>
            <w:tcW w:w="1100" w:type="dxa"/>
          </w:tcPr>
          <w:p w:rsidR="00F94A7D" w:rsidRPr="002432E6" w:rsidRDefault="00F94A7D" w:rsidP="00AF41FE">
            <w:pPr>
              <w:jc w:val="center"/>
              <w:rPr>
                <w:lang w:val="tr-TR"/>
              </w:rPr>
            </w:pPr>
            <w:r w:rsidRPr="002432E6">
              <w:rPr>
                <w:lang w:val="tr-TR"/>
              </w:rPr>
              <w:t>Son Tarih</w:t>
            </w:r>
          </w:p>
        </w:tc>
        <w:tc>
          <w:tcPr>
            <w:tcW w:w="777" w:type="dxa"/>
          </w:tcPr>
          <w:p w:rsidR="00F94A7D" w:rsidRPr="002432E6" w:rsidRDefault="00F94A7D" w:rsidP="00AF41FE">
            <w:pPr>
              <w:jc w:val="center"/>
              <w:rPr>
                <w:lang w:val="tr-TR"/>
              </w:rPr>
            </w:pPr>
            <w:r w:rsidRPr="002432E6">
              <w:rPr>
                <w:lang w:val="tr-TR"/>
              </w:rPr>
              <w:t>CET</w:t>
            </w:r>
            <w:r>
              <w:rPr>
                <w:lang w:val="tr-TR"/>
              </w:rPr>
              <w:t>+1</w:t>
            </w:r>
            <w:r w:rsidRPr="002432E6">
              <w:rPr>
                <w:lang w:val="tr-TR"/>
              </w:rPr>
              <w:t>’den</w:t>
            </w:r>
          </w:p>
        </w:tc>
        <w:tc>
          <w:tcPr>
            <w:tcW w:w="992" w:type="dxa"/>
          </w:tcPr>
          <w:p w:rsidR="00F94A7D" w:rsidRPr="002432E6" w:rsidRDefault="00F94A7D" w:rsidP="00AF41FE">
            <w:pPr>
              <w:jc w:val="center"/>
              <w:rPr>
                <w:lang w:val="tr-TR"/>
              </w:rPr>
            </w:pPr>
            <w:r w:rsidRPr="002432E6">
              <w:rPr>
                <w:lang w:val="tr-TR"/>
              </w:rPr>
              <w:t>CET</w:t>
            </w:r>
            <w:r>
              <w:rPr>
                <w:lang w:val="tr-TR"/>
              </w:rPr>
              <w:t>+1</w:t>
            </w:r>
            <w:r w:rsidRPr="002432E6">
              <w:rPr>
                <w:lang w:val="tr-TR"/>
              </w:rPr>
              <w:t>’e</w:t>
            </w:r>
          </w:p>
        </w:tc>
        <w:tc>
          <w:tcPr>
            <w:tcW w:w="1091" w:type="dxa"/>
          </w:tcPr>
          <w:p w:rsidR="00F94A7D" w:rsidRPr="002432E6" w:rsidRDefault="00F94A7D" w:rsidP="00AF41FE">
            <w:pPr>
              <w:jc w:val="center"/>
              <w:rPr>
                <w:lang w:val="tr-TR"/>
              </w:rPr>
            </w:pPr>
            <w:r w:rsidRPr="002432E6">
              <w:rPr>
                <w:lang w:val="tr-TR"/>
              </w:rPr>
              <w:t>Sözleşme Kapasitesi</w:t>
            </w:r>
          </w:p>
          <w:p w:rsidR="00F94A7D" w:rsidRPr="002432E6" w:rsidRDefault="00F94A7D" w:rsidP="00AF41FE">
            <w:pPr>
              <w:jc w:val="center"/>
              <w:rPr>
                <w:lang w:val="tr-TR"/>
              </w:rPr>
            </w:pPr>
            <w:r w:rsidRPr="002432E6">
              <w:rPr>
                <w:lang w:val="tr-TR"/>
              </w:rPr>
              <w:t>MW</w:t>
            </w:r>
          </w:p>
        </w:tc>
        <w:tc>
          <w:tcPr>
            <w:tcW w:w="1540" w:type="dxa"/>
          </w:tcPr>
          <w:p w:rsidR="00F94A7D" w:rsidRPr="002432E6" w:rsidRDefault="00F94A7D" w:rsidP="00AF41FE">
            <w:pPr>
              <w:jc w:val="center"/>
              <w:rPr>
                <w:lang w:val="tr-TR"/>
              </w:rPr>
            </w:pPr>
            <w:r w:rsidRPr="002432E6">
              <w:rPr>
                <w:lang w:val="tr-TR"/>
              </w:rPr>
              <w:t>Sözleşme Miktarı</w:t>
            </w:r>
          </w:p>
          <w:p w:rsidR="00F94A7D" w:rsidRPr="002432E6" w:rsidRDefault="00F94A7D" w:rsidP="00AF41FE">
            <w:pPr>
              <w:jc w:val="center"/>
              <w:rPr>
                <w:lang w:val="tr-TR"/>
              </w:rPr>
            </w:pPr>
            <w:r w:rsidRPr="002432E6">
              <w:rPr>
                <w:lang w:val="tr-TR"/>
              </w:rPr>
              <w:t>MWh</w:t>
            </w:r>
          </w:p>
        </w:tc>
        <w:tc>
          <w:tcPr>
            <w:tcW w:w="1622" w:type="dxa"/>
          </w:tcPr>
          <w:p w:rsidR="00F94A7D" w:rsidRPr="002432E6" w:rsidRDefault="00F94A7D" w:rsidP="00AF41FE">
            <w:pPr>
              <w:jc w:val="center"/>
              <w:rPr>
                <w:lang w:val="tr-TR"/>
              </w:rPr>
            </w:pPr>
            <w:r w:rsidRPr="002432E6">
              <w:rPr>
                <w:lang w:val="tr-TR"/>
              </w:rPr>
              <w:t>Kullanma bedeli</w:t>
            </w:r>
          </w:p>
          <w:p w:rsidR="00F94A7D" w:rsidRPr="002432E6" w:rsidRDefault="00F94A7D" w:rsidP="00AF41FE">
            <w:pPr>
              <w:jc w:val="center"/>
              <w:rPr>
                <w:lang w:val="tr-TR"/>
              </w:rPr>
            </w:pPr>
            <w:r w:rsidRPr="002432E6">
              <w:rPr>
                <w:lang w:val="tr-TR"/>
              </w:rPr>
              <w:t xml:space="preserve">(Sözleşme Bedeli) </w:t>
            </w:r>
          </w:p>
          <w:p w:rsidR="00F94A7D" w:rsidRPr="002432E6" w:rsidRDefault="00F94A7D" w:rsidP="00AF41FE">
            <w:pPr>
              <w:jc w:val="center"/>
              <w:rPr>
                <w:lang w:val="tr-TR"/>
              </w:rPr>
            </w:pPr>
            <w:r>
              <w:rPr>
                <w:lang w:val="tr-TR"/>
              </w:rPr>
              <w:t>TL</w:t>
            </w:r>
            <w:r w:rsidRPr="002432E6">
              <w:rPr>
                <w:lang w:val="tr-TR"/>
              </w:rPr>
              <w:t xml:space="preserve"> / MWh</w:t>
            </w:r>
          </w:p>
        </w:tc>
        <w:tc>
          <w:tcPr>
            <w:tcW w:w="1018" w:type="dxa"/>
          </w:tcPr>
          <w:p w:rsidR="00F94A7D" w:rsidRPr="002432E6" w:rsidRDefault="00F94A7D" w:rsidP="00AF41FE">
            <w:pPr>
              <w:jc w:val="center"/>
              <w:rPr>
                <w:lang w:val="tr-TR"/>
              </w:rPr>
            </w:pPr>
            <w:r w:rsidRPr="002432E6">
              <w:rPr>
                <w:lang w:val="tr-TR"/>
              </w:rPr>
              <w:t>Toplam Bedel</w:t>
            </w:r>
          </w:p>
          <w:p w:rsidR="00F94A7D" w:rsidRPr="002432E6" w:rsidRDefault="00F94A7D" w:rsidP="00AF41FE">
            <w:pPr>
              <w:jc w:val="center"/>
              <w:rPr>
                <w:lang w:val="tr-TR"/>
              </w:rPr>
            </w:pPr>
            <w:r>
              <w:rPr>
                <w:lang w:val="tr-TR"/>
              </w:rPr>
              <w:t xml:space="preserve">TL </w:t>
            </w:r>
          </w:p>
        </w:tc>
      </w:tr>
      <w:tr w:rsidR="00F94A7D" w:rsidRPr="007B652F" w:rsidTr="00AF41FE">
        <w:tc>
          <w:tcPr>
            <w:tcW w:w="1170" w:type="dxa"/>
          </w:tcPr>
          <w:p w:rsidR="00F94A7D" w:rsidRPr="002432E6" w:rsidRDefault="00F94A7D" w:rsidP="00AF41FE">
            <w:pPr>
              <w:jc w:val="center"/>
              <w:rPr>
                <w:lang w:val="tr-TR"/>
              </w:rPr>
            </w:pPr>
          </w:p>
        </w:tc>
        <w:tc>
          <w:tcPr>
            <w:tcW w:w="1100" w:type="dxa"/>
          </w:tcPr>
          <w:p w:rsidR="00F94A7D" w:rsidRPr="002432E6" w:rsidRDefault="00F94A7D" w:rsidP="00AF41FE">
            <w:pPr>
              <w:jc w:val="center"/>
              <w:rPr>
                <w:lang w:val="tr-TR"/>
              </w:rPr>
            </w:pPr>
          </w:p>
        </w:tc>
        <w:tc>
          <w:tcPr>
            <w:tcW w:w="777" w:type="dxa"/>
          </w:tcPr>
          <w:p w:rsidR="00F94A7D" w:rsidRPr="002432E6" w:rsidRDefault="00F94A7D" w:rsidP="00AF41FE">
            <w:pPr>
              <w:jc w:val="center"/>
              <w:rPr>
                <w:lang w:val="tr-TR"/>
              </w:rPr>
            </w:pPr>
          </w:p>
        </w:tc>
        <w:tc>
          <w:tcPr>
            <w:tcW w:w="992" w:type="dxa"/>
          </w:tcPr>
          <w:p w:rsidR="00F94A7D" w:rsidRPr="002432E6" w:rsidRDefault="00F94A7D" w:rsidP="00AF41FE">
            <w:pPr>
              <w:jc w:val="center"/>
              <w:rPr>
                <w:lang w:val="tr-TR"/>
              </w:rPr>
            </w:pPr>
          </w:p>
        </w:tc>
        <w:tc>
          <w:tcPr>
            <w:tcW w:w="1091" w:type="dxa"/>
          </w:tcPr>
          <w:p w:rsidR="00F94A7D" w:rsidRPr="002432E6" w:rsidRDefault="00F94A7D" w:rsidP="00AF41FE">
            <w:pPr>
              <w:jc w:val="center"/>
              <w:rPr>
                <w:lang w:val="tr-TR"/>
              </w:rPr>
            </w:pPr>
          </w:p>
        </w:tc>
        <w:tc>
          <w:tcPr>
            <w:tcW w:w="1540" w:type="dxa"/>
          </w:tcPr>
          <w:p w:rsidR="00F94A7D" w:rsidRPr="002432E6" w:rsidRDefault="00F94A7D" w:rsidP="00AF41FE">
            <w:pPr>
              <w:jc w:val="center"/>
              <w:rPr>
                <w:lang w:val="tr-TR"/>
              </w:rPr>
            </w:pPr>
            <w:r w:rsidRPr="002432E6">
              <w:rPr>
                <w:lang w:val="tr-TR"/>
              </w:rPr>
              <w:t>(Toplam)</w:t>
            </w:r>
          </w:p>
        </w:tc>
        <w:tc>
          <w:tcPr>
            <w:tcW w:w="1622" w:type="dxa"/>
          </w:tcPr>
          <w:p w:rsidR="00F94A7D" w:rsidRPr="002432E6" w:rsidRDefault="00F94A7D" w:rsidP="00AF41FE">
            <w:pPr>
              <w:jc w:val="center"/>
              <w:rPr>
                <w:lang w:val="tr-TR"/>
              </w:rPr>
            </w:pPr>
          </w:p>
        </w:tc>
        <w:tc>
          <w:tcPr>
            <w:tcW w:w="1018" w:type="dxa"/>
          </w:tcPr>
          <w:p w:rsidR="00F94A7D" w:rsidRPr="002432E6" w:rsidRDefault="00F94A7D" w:rsidP="00AF41FE">
            <w:pPr>
              <w:jc w:val="center"/>
              <w:rPr>
                <w:lang w:val="tr-TR"/>
              </w:rPr>
            </w:pPr>
            <w:r w:rsidRPr="002432E6">
              <w:rPr>
                <w:lang w:val="tr-TR"/>
              </w:rPr>
              <w:t>(Toplam)</w:t>
            </w:r>
          </w:p>
        </w:tc>
      </w:tr>
      <w:tr w:rsidR="00F94A7D" w:rsidRPr="007B652F" w:rsidTr="00AF41FE">
        <w:tc>
          <w:tcPr>
            <w:tcW w:w="1170" w:type="dxa"/>
          </w:tcPr>
          <w:p w:rsidR="00F94A7D" w:rsidRPr="002432E6" w:rsidRDefault="00F94A7D" w:rsidP="00AF41FE">
            <w:pPr>
              <w:jc w:val="center"/>
              <w:rPr>
                <w:lang w:val="tr-TR"/>
              </w:rPr>
            </w:pPr>
          </w:p>
        </w:tc>
        <w:tc>
          <w:tcPr>
            <w:tcW w:w="1100" w:type="dxa"/>
          </w:tcPr>
          <w:p w:rsidR="00F94A7D" w:rsidRPr="002432E6" w:rsidRDefault="00F94A7D" w:rsidP="00AF41FE">
            <w:pPr>
              <w:jc w:val="center"/>
              <w:rPr>
                <w:lang w:val="tr-TR"/>
              </w:rPr>
            </w:pPr>
          </w:p>
        </w:tc>
        <w:tc>
          <w:tcPr>
            <w:tcW w:w="777" w:type="dxa"/>
          </w:tcPr>
          <w:p w:rsidR="00F94A7D" w:rsidRPr="002432E6" w:rsidRDefault="00F94A7D" w:rsidP="00AF41FE">
            <w:pPr>
              <w:jc w:val="center"/>
              <w:rPr>
                <w:lang w:val="tr-TR"/>
              </w:rPr>
            </w:pPr>
          </w:p>
        </w:tc>
        <w:tc>
          <w:tcPr>
            <w:tcW w:w="992" w:type="dxa"/>
          </w:tcPr>
          <w:p w:rsidR="00F94A7D" w:rsidRPr="002432E6" w:rsidRDefault="00F94A7D" w:rsidP="00AF41FE">
            <w:pPr>
              <w:jc w:val="center"/>
              <w:rPr>
                <w:lang w:val="tr-TR"/>
              </w:rPr>
            </w:pPr>
          </w:p>
        </w:tc>
        <w:tc>
          <w:tcPr>
            <w:tcW w:w="1091" w:type="dxa"/>
          </w:tcPr>
          <w:p w:rsidR="00F94A7D" w:rsidRPr="002432E6" w:rsidRDefault="00F94A7D" w:rsidP="00AF41FE">
            <w:pPr>
              <w:jc w:val="center"/>
              <w:rPr>
                <w:lang w:val="tr-TR"/>
              </w:rPr>
            </w:pPr>
          </w:p>
        </w:tc>
        <w:tc>
          <w:tcPr>
            <w:tcW w:w="1540" w:type="dxa"/>
          </w:tcPr>
          <w:p w:rsidR="00F94A7D" w:rsidRPr="002432E6" w:rsidRDefault="00F94A7D" w:rsidP="00AF41FE">
            <w:pPr>
              <w:jc w:val="center"/>
              <w:rPr>
                <w:lang w:val="tr-TR"/>
              </w:rPr>
            </w:pPr>
            <w:r w:rsidRPr="002432E6">
              <w:rPr>
                <w:lang w:val="tr-TR"/>
              </w:rPr>
              <w:t>(Toplam)</w:t>
            </w:r>
          </w:p>
        </w:tc>
        <w:tc>
          <w:tcPr>
            <w:tcW w:w="1622" w:type="dxa"/>
          </w:tcPr>
          <w:p w:rsidR="00F94A7D" w:rsidRPr="002432E6" w:rsidRDefault="00F94A7D" w:rsidP="00AF41FE">
            <w:pPr>
              <w:jc w:val="center"/>
              <w:rPr>
                <w:lang w:val="tr-TR"/>
              </w:rPr>
            </w:pPr>
          </w:p>
        </w:tc>
        <w:tc>
          <w:tcPr>
            <w:tcW w:w="1018" w:type="dxa"/>
          </w:tcPr>
          <w:p w:rsidR="00F94A7D" w:rsidRPr="002432E6" w:rsidRDefault="00F94A7D" w:rsidP="00AF41FE">
            <w:pPr>
              <w:jc w:val="center"/>
              <w:rPr>
                <w:lang w:val="tr-TR"/>
              </w:rPr>
            </w:pPr>
            <w:r w:rsidRPr="002432E6">
              <w:rPr>
                <w:lang w:val="tr-TR"/>
              </w:rPr>
              <w:t>(Toplam)</w:t>
            </w:r>
          </w:p>
        </w:tc>
      </w:tr>
      <w:tr w:rsidR="00F94A7D" w:rsidRPr="007B652F" w:rsidTr="00AF41FE">
        <w:tc>
          <w:tcPr>
            <w:tcW w:w="1170" w:type="dxa"/>
          </w:tcPr>
          <w:p w:rsidR="00F94A7D" w:rsidRPr="002432E6" w:rsidRDefault="00F94A7D" w:rsidP="00AF41FE">
            <w:pPr>
              <w:jc w:val="center"/>
              <w:rPr>
                <w:lang w:val="tr-TR"/>
              </w:rPr>
            </w:pPr>
          </w:p>
        </w:tc>
        <w:tc>
          <w:tcPr>
            <w:tcW w:w="1100" w:type="dxa"/>
          </w:tcPr>
          <w:p w:rsidR="00F94A7D" w:rsidRPr="002432E6" w:rsidRDefault="00F94A7D" w:rsidP="00AF41FE">
            <w:pPr>
              <w:jc w:val="center"/>
              <w:rPr>
                <w:lang w:val="tr-TR"/>
              </w:rPr>
            </w:pPr>
          </w:p>
        </w:tc>
        <w:tc>
          <w:tcPr>
            <w:tcW w:w="777" w:type="dxa"/>
          </w:tcPr>
          <w:p w:rsidR="00F94A7D" w:rsidRPr="002432E6" w:rsidRDefault="00F94A7D" w:rsidP="00AF41FE">
            <w:pPr>
              <w:jc w:val="center"/>
              <w:rPr>
                <w:lang w:val="tr-TR"/>
              </w:rPr>
            </w:pPr>
          </w:p>
        </w:tc>
        <w:tc>
          <w:tcPr>
            <w:tcW w:w="992" w:type="dxa"/>
          </w:tcPr>
          <w:p w:rsidR="00F94A7D" w:rsidRPr="002432E6" w:rsidRDefault="00F94A7D" w:rsidP="00AF41FE">
            <w:pPr>
              <w:jc w:val="center"/>
              <w:rPr>
                <w:lang w:val="tr-TR"/>
              </w:rPr>
            </w:pPr>
          </w:p>
        </w:tc>
        <w:tc>
          <w:tcPr>
            <w:tcW w:w="1091" w:type="dxa"/>
          </w:tcPr>
          <w:p w:rsidR="00F94A7D" w:rsidRPr="002432E6" w:rsidRDefault="00F94A7D" w:rsidP="00AF41FE">
            <w:pPr>
              <w:jc w:val="center"/>
              <w:rPr>
                <w:lang w:val="tr-TR"/>
              </w:rPr>
            </w:pPr>
          </w:p>
        </w:tc>
        <w:tc>
          <w:tcPr>
            <w:tcW w:w="1540" w:type="dxa"/>
          </w:tcPr>
          <w:p w:rsidR="00F94A7D" w:rsidRPr="002432E6" w:rsidRDefault="00F94A7D" w:rsidP="00AF41FE">
            <w:pPr>
              <w:jc w:val="center"/>
              <w:rPr>
                <w:lang w:val="tr-TR"/>
              </w:rPr>
            </w:pPr>
            <w:r w:rsidRPr="002432E6">
              <w:rPr>
                <w:lang w:val="tr-TR"/>
              </w:rPr>
              <w:t>(Toplam)</w:t>
            </w:r>
          </w:p>
        </w:tc>
        <w:tc>
          <w:tcPr>
            <w:tcW w:w="1622" w:type="dxa"/>
          </w:tcPr>
          <w:p w:rsidR="00F94A7D" w:rsidRPr="002432E6" w:rsidRDefault="00F94A7D" w:rsidP="00AF41FE">
            <w:pPr>
              <w:jc w:val="center"/>
              <w:rPr>
                <w:lang w:val="tr-TR"/>
              </w:rPr>
            </w:pPr>
          </w:p>
        </w:tc>
        <w:tc>
          <w:tcPr>
            <w:tcW w:w="1018" w:type="dxa"/>
          </w:tcPr>
          <w:p w:rsidR="00F94A7D" w:rsidRPr="002432E6" w:rsidRDefault="00F94A7D" w:rsidP="00AF41FE">
            <w:pPr>
              <w:jc w:val="center"/>
              <w:rPr>
                <w:lang w:val="tr-TR"/>
              </w:rPr>
            </w:pPr>
            <w:r w:rsidRPr="002432E6">
              <w:rPr>
                <w:lang w:val="tr-TR"/>
              </w:rPr>
              <w:t>(Toplam)</w:t>
            </w:r>
          </w:p>
        </w:tc>
      </w:tr>
      <w:tr w:rsidR="00F94A7D" w:rsidRPr="007B652F" w:rsidTr="00AF41FE">
        <w:tc>
          <w:tcPr>
            <w:tcW w:w="1170" w:type="dxa"/>
          </w:tcPr>
          <w:p w:rsidR="00F94A7D" w:rsidRPr="002432E6" w:rsidRDefault="00F94A7D" w:rsidP="00AF41FE">
            <w:pPr>
              <w:jc w:val="center"/>
              <w:rPr>
                <w:lang w:val="tr-TR"/>
              </w:rPr>
            </w:pPr>
          </w:p>
        </w:tc>
        <w:tc>
          <w:tcPr>
            <w:tcW w:w="1100" w:type="dxa"/>
          </w:tcPr>
          <w:p w:rsidR="00F94A7D" w:rsidRPr="002432E6" w:rsidRDefault="00F94A7D" w:rsidP="00AF41FE">
            <w:pPr>
              <w:jc w:val="center"/>
              <w:rPr>
                <w:lang w:val="tr-TR"/>
              </w:rPr>
            </w:pPr>
          </w:p>
        </w:tc>
        <w:tc>
          <w:tcPr>
            <w:tcW w:w="777" w:type="dxa"/>
          </w:tcPr>
          <w:p w:rsidR="00F94A7D" w:rsidRPr="002432E6" w:rsidRDefault="00F94A7D" w:rsidP="00AF41FE">
            <w:pPr>
              <w:jc w:val="center"/>
              <w:rPr>
                <w:lang w:val="tr-TR"/>
              </w:rPr>
            </w:pPr>
          </w:p>
        </w:tc>
        <w:tc>
          <w:tcPr>
            <w:tcW w:w="992" w:type="dxa"/>
          </w:tcPr>
          <w:p w:rsidR="00F94A7D" w:rsidRPr="002432E6" w:rsidRDefault="00F94A7D" w:rsidP="00AF41FE">
            <w:pPr>
              <w:jc w:val="center"/>
              <w:rPr>
                <w:lang w:val="tr-TR"/>
              </w:rPr>
            </w:pPr>
          </w:p>
        </w:tc>
        <w:tc>
          <w:tcPr>
            <w:tcW w:w="1091" w:type="dxa"/>
          </w:tcPr>
          <w:p w:rsidR="00F94A7D" w:rsidRPr="002432E6" w:rsidRDefault="00F94A7D" w:rsidP="00AF41FE">
            <w:pPr>
              <w:jc w:val="center"/>
              <w:rPr>
                <w:lang w:val="tr-TR"/>
              </w:rPr>
            </w:pPr>
          </w:p>
        </w:tc>
        <w:tc>
          <w:tcPr>
            <w:tcW w:w="1540" w:type="dxa"/>
          </w:tcPr>
          <w:p w:rsidR="00F94A7D" w:rsidRPr="002432E6" w:rsidRDefault="00F94A7D" w:rsidP="00AF41FE">
            <w:pPr>
              <w:jc w:val="center"/>
              <w:rPr>
                <w:lang w:val="tr-TR"/>
              </w:rPr>
            </w:pPr>
            <w:r w:rsidRPr="002432E6">
              <w:rPr>
                <w:lang w:val="tr-TR"/>
              </w:rPr>
              <w:t>(Toplam)</w:t>
            </w:r>
          </w:p>
        </w:tc>
        <w:tc>
          <w:tcPr>
            <w:tcW w:w="1622" w:type="dxa"/>
          </w:tcPr>
          <w:p w:rsidR="00F94A7D" w:rsidRPr="002432E6" w:rsidRDefault="00F94A7D" w:rsidP="00AF41FE">
            <w:pPr>
              <w:jc w:val="center"/>
              <w:rPr>
                <w:lang w:val="tr-TR"/>
              </w:rPr>
            </w:pPr>
          </w:p>
        </w:tc>
        <w:tc>
          <w:tcPr>
            <w:tcW w:w="1018" w:type="dxa"/>
          </w:tcPr>
          <w:p w:rsidR="00F94A7D" w:rsidRPr="002432E6" w:rsidRDefault="00F94A7D" w:rsidP="00AF41FE">
            <w:pPr>
              <w:jc w:val="center"/>
              <w:rPr>
                <w:lang w:val="tr-TR"/>
              </w:rPr>
            </w:pPr>
            <w:r w:rsidRPr="002432E6">
              <w:rPr>
                <w:lang w:val="tr-TR"/>
              </w:rPr>
              <w:t>(Toplam)</w:t>
            </w:r>
          </w:p>
        </w:tc>
      </w:tr>
      <w:tr w:rsidR="00F94A7D" w:rsidRPr="007B652F" w:rsidTr="00AF41FE">
        <w:tc>
          <w:tcPr>
            <w:tcW w:w="1170" w:type="dxa"/>
          </w:tcPr>
          <w:p w:rsidR="00F94A7D" w:rsidRPr="002432E6" w:rsidRDefault="00F94A7D" w:rsidP="00AF41FE">
            <w:pPr>
              <w:jc w:val="center"/>
              <w:rPr>
                <w:lang w:val="tr-TR"/>
              </w:rPr>
            </w:pPr>
          </w:p>
        </w:tc>
        <w:tc>
          <w:tcPr>
            <w:tcW w:w="1100" w:type="dxa"/>
          </w:tcPr>
          <w:p w:rsidR="00F94A7D" w:rsidRPr="002432E6" w:rsidRDefault="00F94A7D" w:rsidP="00AF41FE">
            <w:pPr>
              <w:jc w:val="center"/>
              <w:rPr>
                <w:lang w:val="tr-TR"/>
              </w:rPr>
            </w:pPr>
          </w:p>
        </w:tc>
        <w:tc>
          <w:tcPr>
            <w:tcW w:w="777" w:type="dxa"/>
          </w:tcPr>
          <w:p w:rsidR="00F94A7D" w:rsidRPr="002432E6" w:rsidRDefault="00F94A7D" w:rsidP="00AF41FE">
            <w:pPr>
              <w:jc w:val="center"/>
              <w:rPr>
                <w:lang w:val="tr-TR"/>
              </w:rPr>
            </w:pPr>
          </w:p>
        </w:tc>
        <w:tc>
          <w:tcPr>
            <w:tcW w:w="992" w:type="dxa"/>
          </w:tcPr>
          <w:p w:rsidR="00F94A7D" w:rsidRPr="002432E6" w:rsidRDefault="00F94A7D" w:rsidP="00AF41FE">
            <w:pPr>
              <w:jc w:val="center"/>
              <w:rPr>
                <w:lang w:val="tr-TR"/>
              </w:rPr>
            </w:pPr>
          </w:p>
        </w:tc>
        <w:tc>
          <w:tcPr>
            <w:tcW w:w="1091" w:type="dxa"/>
          </w:tcPr>
          <w:p w:rsidR="00F94A7D" w:rsidRPr="002432E6" w:rsidRDefault="00F94A7D" w:rsidP="00AF41FE">
            <w:pPr>
              <w:jc w:val="center"/>
              <w:rPr>
                <w:lang w:val="tr-TR"/>
              </w:rPr>
            </w:pPr>
          </w:p>
        </w:tc>
        <w:tc>
          <w:tcPr>
            <w:tcW w:w="1540" w:type="dxa"/>
          </w:tcPr>
          <w:p w:rsidR="00F94A7D" w:rsidRPr="002432E6" w:rsidRDefault="00F94A7D" w:rsidP="00AF41FE">
            <w:pPr>
              <w:jc w:val="center"/>
              <w:rPr>
                <w:lang w:val="tr-TR"/>
              </w:rPr>
            </w:pPr>
            <w:r w:rsidRPr="002432E6">
              <w:rPr>
                <w:lang w:val="tr-TR"/>
              </w:rPr>
              <w:t>(Toplam)</w:t>
            </w:r>
          </w:p>
        </w:tc>
        <w:tc>
          <w:tcPr>
            <w:tcW w:w="1622" w:type="dxa"/>
          </w:tcPr>
          <w:p w:rsidR="00F94A7D" w:rsidRPr="002432E6" w:rsidRDefault="00F94A7D" w:rsidP="00AF41FE">
            <w:pPr>
              <w:jc w:val="center"/>
              <w:rPr>
                <w:lang w:val="tr-TR"/>
              </w:rPr>
            </w:pPr>
          </w:p>
        </w:tc>
        <w:tc>
          <w:tcPr>
            <w:tcW w:w="1018" w:type="dxa"/>
          </w:tcPr>
          <w:p w:rsidR="00F94A7D" w:rsidRPr="002432E6" w:rsidRDefault="00F94A7D" w:rsidP="00AF41FE">
            <w:pPr>
              <w:jc w:val="center"/>
              <w:rPr>
                <w:lang w:val="tr-TR"/>
              </w:rPr>
            </w:pPr>
            <w:r w:rsidRPr="002432E6">
              <w:rPr>
                <w:lang w:val="tr-TR"/>
              </w:rPr>
              <w:t>(Toplam)</w:t>
            </w:r>
          </w:p>
        </w:tc>
      </w:tr>
    </w:tbl>
    <w:p w:rsidR="00F94A7D" w:rsidRPr="002432E6" w:rsidRDefault="00F94A7D" w:rsidP="00F94A7D">
      <w:pPr>
        <w:jc w:val="center"/>
        <w:rPr>
          <w:lang w:val="tr-TR"/>
        </w:rPr>
      </w:pPr>
      <w:r w:rsidRPr="002432E6">
        <w:rPr>
          <w:lang w:val="tr-TR"/>
        </w:rPr>
        <w:br w:type="page"/>
      </w:r>
    </w:p>
    <w:p w:rsidR="00F94A7D" w:rsidRPr="002432E6" w:rsidRDefault="00F94A7D" w:rsidP="00F94A7D">
      <w:pPr>
        <w:jc w:val="center"/>
        <w:rPr>
          <w:lang w:val="tr-TR"/>
        </w:rPr>
      </w:pPr>
      <w:r w:rsidRPr="002432E6">
        <w:rPr>
          <w:lang w:val="tr-TR"/>
        </w:rPr>
        <w:lastRenderedPageBreak/>
        <w:t>ve ek olarak (tek parçalı sözleşmeler için)</w:t>
      </w:r>
    </w:p>
    <w:p w:rsidR="00F94A7D" w:rsidRPr="002432E6" w:rsidRDefault="00F94A7D" w:rsidP="00F94A7D">
      <w:pPr>
        <w:jc w:val="center"/>
        <w:rPr>
          <w:lang w:val="tr-TR"/>
        </w:rPr>
      </w:pPr>
    </w:p>
    <w:tbl>
      <w:tblPr>
        <w:tblW w:w="9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0"/>
        <w:gridCol w:w="770"/>
        <w:gridCol w:w="770"/>
        <w:gridCol w:w="770"/>
        <w:gridCol w:w="770"/>
        <w:gridCol w:w="770"/>
        <w:gridCol w:w="770"/>
        <w:gridCol w:w="1910"/>
        <w:gridCol w:w="2010"/>
      </w:tblGrid>
      <w:tr w:rsidR="00F94A7D" w:rsidRPr="007B652F" w:rsidTr="00AF41FE">
        <w:tc>
          <w:tcPr>
            <w:tcW w:w="770" w:type="dxa"/>
          </w:tcPr>
          <w:p w:rsidR="00F94A7D" w:rsidRPr="002432E6" w:rsidRDefault="00F94A7D" w:rsidP="00AF41FE">
            <w:pPr>
              <w:jc w:val="center"/>
              <w:rPr>
                <w:lang w:val="tr-TR"/>
              </w:rPr>
            </w:pPr>
            <w:r w:rsidRPr="002432E6">
              <w:rPr>
                <w:lang w:val="tr-TR"/>
              </w:rPr>
              <w:t>Pt</w:t>
            </w:r>
          </w:p>
        </w:tc>
        <w:tc>
          <w:tcPr>
            <w:tcW w:w="770" w:type="dxa"/>
          </w:tcPr>
          <w:p w:rsidR="00F94A7D" w:rsidRPr="002432E6" w:rsidRDefault="00F94A7D" w:rsidP="00AF41FE">
            <w:pPr>
              <w:jc w:val="center"/>
              <w:rPr>
                <w:lang w:val="tr-TR"/>
              </w:rPr>
            </w:pPr>
            <w:r w:rsidRPr="002432E6">
              <w:rPr>
                <w:lang w:val="tr-TR"/>
              </w:rPr>
              <w:t>Sa</w:t>
            </w:r>
          </w:p>
        </w:tc>
        <w:tc>
          <w:tcPr>
            <w:tcW w:w="770" w:type="dxa"/>
          </w:tcPr>
          <w:p w:rsidR="00F94A7D" w:rsidRPr="002432E6" w:rsidRDefault="00F94A7D" w:rsidP="00AF41FE">
            <w:pPr>
              <w:jc w:val="center"/>
              <w:rPr>
                <w:lang w:val="tr-TR"/>
              </w:rPr>
            </w:pPr>
            <w:r w:rsidRPr="002432E6">
              <w:rPr>
                <w:lang w:val="tr-TR"/>
              </w:rPr>
              <w:t>Ça</w:t>
            </w:r>
          </w:p>
        </w:tc>
        <w:tc>
          <w:tcPr>
            <w:tcW w:w="770" w:type="dxa"/>
          </w:tcPr>
          <w:p w:rsidR="00F94A7D" w:rsidRPr="002432E6" w:rsidRDefault="00F94A7D" w:rsidP="00AF41FE">
            <w:pPr>
              <w:jc w:val="center"/>
              <w:rPr>
                <w:lang w:val="tr-TR"/>
              </w:rPr>
            </w:pPr>
            <w:r w:rsidRPr="002432E6">
              <w:rPr>
                <w:lang w:val="tr-TR"/>
              </w:rPr>
              <w:t>Per</w:t>
            </w:r>
          </w:p>
        </w:tc>
        <w:tc>
          <w:tcPr>
            <w:tcW w:w="770" w:type="dxa"/>
          </w:tcPr>
          <w:p w:rsidR="00F94A7D" w:rsidRPr="002432E6" w:rsidRDefault="00F94A7D" w:rsidP="00AF41FE">
            <w:pPr>
              <w:jc w:val="center"/>
              <w:rPr>
                <w:lang w:val="tr-TR"/>
              </w:rPr>
            </w:pPr>
            <w:r w:rsidRPr="002432E6">
              <w:rPr>
                <w:lang w:val="tr-TR"/>
              </w:rPr>
              <w:t>Cu</w:t>
            </w:r>
          </w:p>
        </w:tc>
        <w:tc>
          <w:tcPr>
            <w:tcW w:w="770" w:type="dxa"/>
          </w:tcPr>
          <w:p w:rsidR="00F94A7D" w:rsidRPr="002432E6" w:rsidRDefault="00F94A7D" w:rsidP="00AF41FE">
            <w:pPr>
              <w:jc w:val="center"/>
              <w:rPr>
                <w:lang w:val="tr-TR"/>
              </w:rPr>
            </w:pPr>
            <w:r w:rsidRPr="002432E6">
              <w:rPr>
                <w:lang w:val="tr-TR"/>
              </w:rPr>
              <w:t>Ct</w:t>
            </w:r>
          </w:p>
        </w:tc>
        <w:tc>
          <w:tcPr>
            <w:tcW w:w="770" w:type="dxa"/>
          </w:tcPr>
          <w:p w:rsidR="00F94A7D" w:rsidRPr="002432E6" w:rsidRDefault="00F94A7D" w:rsidP="00AF41FE">
            <w:pPr>
              <w:jc w:val="center"/>
              <w:rPr>
                <w:lang w:val="tr-TR"/>
              </w:rPr>
            </w:pPr>
            <w:r w:rsidRPr="002432E6">
              <w:rPr>
                <w:lang w:val="tr-TR"/>
              </w:rPr>
              <w:t>Paz</w:t>
            </w:r>
          </w:p>
        </w:tc>
        <w:tc>
          <w:tcPr>
            <w:tcW w:w="1910" w:type="dxa"/>
          </w:tcPr>
          <w:p w:rsidR="00F94A7D" w:rsidRPr="002432E6" w:rsidRDefault="00F94A7D" w:rsidP="00AF41FE">
            <w:pPr>
              <w:jc w:val="center"/>
              <w:rPr>
                <w:lang w:val="tr-TR"/>
              </w:rPr>
            </w:pPr>
            <w:r w:rsidRPr="002432E6">
              <w:rPr>
                <w:lang w:val="tr-TR"/>
              </w:rPr>
              <w:t>Tatiller dâhil</w:t>
            </w:r>
          </w:p>
        </w:tc>
        <w:tc>
          <w:tcPr>
            <w:tcW w:w="2010" w:type="dxa"/>
          </w:tcPr>
          <w:p w:rsidR="00F94A7D" w:rsidRPr="002432E6" w:rsidRDefault="00F94A7D" w:rsidP="00AF41FE">
            <w:pPr>
              <w:jc w:val="center"/>
              <w:rPr>
                <w:lang w:val="tr-TR"/>
              </w:rPr>
            </w:pPr>
            <w:r w:rsidRPr="002432E6">
              <w:rPr>
                <w:lang w:val="tr-TR"/>
              </w:rPr>
              <w:t>Aşağıda belirtilen Tatiller hariç</w:t>
            </w:r>
          </w:p>
        </w:tc>
      </w:tr>
      <w:tr w:rsidR="00F94A7D" w:rsidRPr="007B652F" w:rsidTr="00AF41FE">
        <w:tc>
          <w:tcPr>
            <w:tcW w:w="770" w:type="dxa"/>
          </w:tcPr>
          <w:p w:rsidR="00F94A7D" w:rsidRPr="002432E6" w:rsidRDefault="00F94A7D" w:rsidP="00AF41FE">
            <w:pPr>
              <w:jc w:val="center"/>
              <w:rPr>
                <w:lang w:val="tr-TR"/>
              </w:rPr>
            </w:pPr>
          </w:p>
        </w:tc>
        <w:tc>
          <w:tcPr>
            <w:tcW w:w="770" w:type="dxa"/>
          </w:tcPr>
          <w:p w:rsidR="00F94A7D" w:rsidRPr="002432E6" w:rsidRDefault="00F94A7D" w:rsidP="00AF41FE">
            <w:pPr>
              <w:jc w:val="center"/>
              <w:rPr>
                <w:lang w:val="tr-TR"/>
              </w:rPr>
            </w:pPr>
          </w:p>
        </w:tc>
        <w:tc>
          <w:tcPr>
            <w:tcW w:w="770" w:type="dxa"/>
          </w:tcPr>
          <w:p w:rsidR="00F94A7D" w:rsidRPr="002432E6" w:rsidRDefault="00F94A7D" w:rsidP="00AF41FE">
            <w:pPr>
              <w:jc w:val="center"/>
              <w:rPr>
                <w:lang w:val="tr-TR"/>
              </w:rPr>
            </w:pPr>
          </w:p>
        </w:tc>
        <w:tc>
          <w:tcPr>
            <w:tcW w:w="770" w:type="dxa"/>
          </w:tcPr>
          <w:p w:rsidR="00F94A7D" w:rsidRPr="002432E6" w:rsidRDefault="00F94A7D" w:rsidP="00AF41FE">
            <w:pPr>
              <w:jc w:val="center"/>
              <w:rPr>
                <w:lang w:val="tr-TR"/>
              </w:rPr>
            </w:pPr>
          </w:p>
        </w:tc>
        <w:tc>
          <w:tcPr>
            <w:tcW w:w="770" w:type="dxa"/>
          </w:tcPr>
          <w:p w:rsidR="00F94A7D" w:rsidRPr="002432E6" w:rsidRDefault="00F94A7D" w:rsidP="00AF41FE">
            <w:pPr>
              <w:jc w:val="center"/>
              <w:rPr>
                <w:lang w:val="tr-TR"/>
              </w:rPr>
            </w:pPr>
          </w:p>
        </w:tc>
        <w:tc>
          <w:tcPr>
            <w:tcW w:w="770" w:type="dxa"/>
          </w:tcPr>
          <w:p w:rsidR="00F94A7D" w:rsidRPr="002432E6" w:rsidRDefault="00F94A7D" w:rsidP="00AF41FE">
            <w:pPr>
              <w:jc w:val="center"/>
              <w:rPr>
                <w:lang w:val="tr-TR"/>
              </w:rPr>
            </w:pPr>
          </w:p>
        </w:tc>
        <w:tc>
          <w:tcPr>
            <w:tcW w:w="770" w:type="dxa"/>
          </w:tcPr>
          <w:p w:rsidR="00F94A7D" w:rsidRPr="002432E6" w:rsidRDefault="00F94A7D" w:rsidP="00AF41FE">
            <w:pPr>
              <w:jc w:val="center"/>
              <w:rPr>
                <w:lang w:val="tr-TR"/>
              </w:rPr>
            </w:pPr>
          </w:p>
        </w:tc>
        <w:tc>
          <w:tcPr>
            <w:tcW w:w="1910" w:type="dxa"/>
          </w:tcPr>
          <w:p w:rsidR="00F94A7D" w:rsidRPr="002432E6" w:rsidRDefault="00F94A7D" w:rsidP="00AF41FE">
            <w:pPr>
              <w:jc w:val="center"/>
              <w:rPr>
                <w:lang w:val="tr-TR"/>
              </w:rPr>
            </w:pPr>
          </w:p>
        </w:tc>
        <w:tc>
          <w:tcPr>
            <w:tcW w:w="2010" w:type="dxa"/>
          </w:tcPr>
          <w:p w:rsidR="00F94A7D" w:rsidRPr="002432E6" w:rsidRDefault="00F94A7D" w:rsidP="00AF41FE">
            <w:pPr>
              <w:jc w:val="center"/>
              <w:rPr>
                <w:lang w:val="tr-TR"/>
              </w:rPr>
            </w:pPr>
          </w:p>
        </w:tc>
      </w:tr>
    </w:tbl>
    <w:p w:rsidR="00F94A7D" w:rsidRPr="002432E6" w:rsidRDefault="00F94A7D" w:rsidP="00F94A7D">
      <w:pPr>
        <w:jc w:val="center"/>
        <w:rPr>
          <w:lang w:val="tr-TR"/>
        </w:rPr>
      </w:pPr>
    </w:p>
    <w:p w:rsidR="00F94A7D" w:rsidRPr="002432E6" w:rsidRDefault="00F94A7D" w:rsidP="00F94A7D">
      <w:pPr>
        <w:jc w:val="left"/>
        <w:rPr>
          <w:lang w:val="tr-TR"/>
        </w:rPr>
      </w:pPr>
      <w:r w:rsidRPr="002432E6">
        <w:rPr>
          <w:lang w:val="tr-TR"/>
        </w:rPr>
        <w:t>Teslim Noktası (Ticaret Bölgesi)</w:t>
      </w:r>
      <w:r w:rsidRPr="002432E6">
        <w:rPr>
          <w:lang w:val="tr-TR"/>
        </w:rPr>
        <w:tab/>
        <w:t>____________</w:t>
      </w:r>
    </w:p>
    <w:p w:rsidR="00F94A7D" w:rsidRPr="002432E6" w:rsidRDefault="00F94A7D" w:rsidP="00F94A7D">
      <w:pPr>
        <w:jc w:val="left"/>
        <w:rPr>
          <w:lang w:val="tr-TR"/>
        </w:rPr>
      </w:pPr>
      <w:r w:rsidRPr="002432E6">
        <w:rPr>
          <w:lang w:val="tr-TR"/>
        </w:rPr>
        <w:t xml:space="preserve">Voltaj Seviyesi: </w:t>
      </w:r>
      <w:r w:rsidRPr="002432E6">
        <w:rPr>
          <w:lang w:val="tr-TR"/>
        </w:rPr>
        <w:tab/>
        <w:t>____________</w:t>
      </w:r>
    </w:p>
    <w:p w:rsidR="00F94A7D" w:rsidRPr="002432E6" w:rsidRDefault="00F94A7D" w:rsidP="00F94A7D">
      <w:pPr>
        <w:jc w:val="left"/>
        <w:rPr>
          <w:lang w:val="tr-TR"/>
        </w:rPr>
      </w:pPr>
      <w:r w:rsidRPr="002432E6">
        <w:rPr>
          <w:lang w:val="tr-TR"/>
        </w:rPr>
        <w:t xml:space="preserve">Hariç Tutulan Tatiller: </w:t>
      </w:r>
      <w:r w:rsidRPr="002432E6">
        <w:rPr>
          <w:lang w:val="tr-TR"/>
        </w:rPr>
        <w:tab/>
        <w:t>____________</w:t>
      </w:r>
    </w:p>
    <w:p w:rsidR="00F94A7D" w:rsidRPr="002432E6" w:rsidRDefault="00F94A7D" w:rsidP="00F94A7D">
      <w:pPr>
        <w:jc w:val="left"/>
        <w:rPr>
          <w:lang w:val="tr-TR"/>
        </w:rPr>
      </w:pPr>
      <w:r w:rsidRPr="002432E6">
        <w:rPr>
          <w:lang w:val="tr-TR"/>
        </w:rPr>
        <w:t>Diğer Düzenlemeler:</w:t>
      </w:r>
    </w:p>
    <w:p w:rsidR="00F94A7D" w:rsidRDefault="00F94A7D" w:rsidP="00F94A7D">
      <w:pPr>
        <w:pStyle w:val="Heading1"/>
        <w:tabs>
          <w:tab w:val="left" w:pos="1418"/>
        </w:tabs>
        <w:rPr>
          <w:lang w:val="tr-TR"/>
        </w:rPr>
      </w:pPr>
      <w:r>
        <w:rPr>
          <w:lang w:val="tr-TR"/>
        </w:rPr>
        <w:t xml:space="preserve">MADDE 3    </w:t>
      </w:r>
      <w:r>
        <w:rPr>
          <w:lang w:val="tr-TR"/>
        </w:rPr>
        <w:tab/>
        <w:t>PMUM’A YAPILACAK BİLDİRİMLER</w:t>
      </w:r>
    </w:p>
    <w:p w:rsidR="00F94A7D" w:rsidRDefault="00F94A7D" w:rsidP="00F94A7D">
      <w:pPr>
        <w:rPr>
          <w:lang w:val="tr-TR"/>
        </w:rPr>
      </w:pPr>
    </w:p>
    <w:p w:rsidR="00F94A7D" w:rsidRDefault="00F94A7D" w:rsidP="00F94A7D">
      <w:pPr>
        <w:rPr>
          <w:lang w:val="tr-TR"/>
        </w:rPr>
      </w:pPr>
      <w:r>
        <w:rPr>
          <w:lang w:val="tr-TR"/>
        </w:rPr>
        <w:t xml:space="preserve">Elektriğin Teslim Noktası Dengeleme ve Uzlaştırma Yönetmeliği’nde tanımlanan teorik teslim noktasıdır. </w:t>
      </w:r>
    </w:p>
    <w:p w:rsidR="00F94A7D" w:rsidRDefault="00F94A7D" w:rsidP="00F94A7D">
      <w:pPr>
        <w:rPr>
          <w:lang w:val="tr-TR"/>
        </w:rPr>
      </w:pPr>
    </w:p>
    <w:p w:rsidR="00F94A7D" w:rsidRDefault="00F94A7D" w:rsidP="00F94A7D">
      <w:pPr>
        <w:rPr>
          <w:lang w:val="tr-TR"/>
        </w:rPr>
      </w:pPr>
      <w:r>
        <w:rPr>
          <w:lang w:val="tr-TR"/>
        </w:rPr>
        <w:t xml:space="preserve">İşbu Münferit Sözleşme Madde 2 Teslimat Programı’nda belirtilen elektrik miktarlarının (“Sözleşme Miktarı”) PMUM’a bildirim yükümlülüğü Satıcı’nın üzerinde olacaktır. Satıcı tarafından Elektrik Miktarı’nın Madde 2’ye uygun olarak PMUM’a bildiriminin ardından Alıcı da bu bildirimi onaylayacaktır.   </w:t>
      </w:r>
      <w:r>
        <w:rPr>
          <w:lang w:val="tr-TR"/>
        </w:rPr>
        <w:tab/>
      </w:r>
    </w:p>
    <w:p w:rsidR="00F94A7D" w:rsidRDefault="00F94A7D" w:rsidP="00F94A7D">
      <w:pPr>
        <w:rPr>
          <w:lang w:val="tr-TR"/>
        </w:rPr>
      </w:pPr>
    </w:p>
    <w:p w:rsidR="00F94A7D" w:rsidRDefault="00F94A7D" w:rsidP="00F94A7D">
      <w:pPr>
        <w:rPr>
          <w:lang w:val="tr-TR"/>
        </w:rPr>
      </w:pPr>
      <w:r>
        <w:rPr>
          <w:lang w:val="tr-TR"/>
        </w:rPr>
        <w:t>[Satıcı tarafından PMUM’a bildirilen elektrik miktarının Sözleşme Miktarı’ndan farklı olması durumunda, Sözleşme Miktarı esas alınacak olup; Satıcı, Genel Sözleşme Madde 8 hükümleri uyarınca temerrüde düşmüş kabul edilecektir.]</w:t>
      </w:r>
    </w:p>
    <w:p w:rsidR="00F94A7D" w:rsidRDefault="00F94A7D" w:rsidP="00F94A7D">
      <w:pPr>
        <w:pStyle w:val="Heading1"/>
        <w:tabs>
          <w:tab w:val="left" w:pos="1418"/>
        </w:tabs>
        <w:rPr>
          <w:lang w:val="tr-TR"/>
        </w:rPr>
      </w:pPr>
      <w:r>
        <w:rPr>
          <w:lang w:val="tr-TR"/>
        </w:rPr>
        <w:t>MADDE 4</w:t>
      </w:r>
      <w:r>
        <w:rPr>
          <w:lang w:val="tr-TR"/>
        </w:rPr>
        <w:tab/>
        <w:t>PİYASA FİYATI</w:t>
      </w:r>
    </w:p>
    <w:p w:rsidR="00F94A7D" w:rsidRDefault="00F94A7D" w:rsidP="00F94A7D">
      <w:pPr>
        <w:rPr>
          <w:lang w:val="tr-TR"/>
        </w:rPr>
      </w:pPr>
    </w:p>
    <w:p w:rsidR="00F94A7D" w:rsidRDefault="00F94A7D" w:rsidP="00F94A7D">
      <w:pPr>
        <w:rPr>
          <w:lang w:val="tr-TR"/>
        </w:rPr>
      </w:pPr>
      <w:r>
        <w:rPr>
          <w:lang w:val="tr-TR"/>
        </w:rPr>
        <w:t xml:space="preserve">Genel Sözleşme Madde 8’de belirtilen teslimde ve kabulde temerrüt hallerinde bir Taraf’ın temerrüde düşmesi nedeniyle diğer Taraf’ın piyasadan aldığı/piyasaya sattığı, teslim/kabul edilmeyen elektrik miktarını, [Sistem Gün Öncesi Fiyatı/Sistem Marjinal Fiyatı/ Sistem Gün Öncesi Fiyatı ve Sistem Marjinal Fiyatından yüksek olanın fiyatı/ Sistem Gün Öncesi Fiyatı ve Sistem Marjinal Fiyatının ortalaması fiyatından] (“Piyasa Fiyatı”) sattığı/aldığı kabul edilecektir. Buna göre Genel Sözleşme Madde 8’de teslim ve kabulde temerrüt halinde, temerrüde düşen Taraf’ın diğer Taraf’a ödeyeceği bedelin hesaplamasında kullanılacak formülde Piyasa Fiyatı dikkate alınacaktır. </w:t>
      </w:r>
    </w:p>
    <w:p w:rsidR="00F94A7D" w:rsidRPr="009E1088" w:rsidRDefault="00F94A7D" w:rsidP="00F94A7D">
      <w:pPr>
        <w:pStyle w:val="Heading1"/>
        <w:tabs>
          <w:tab w:val="left" w:pos="1418"/>
        </w:tabs>
        <w:rPr>
          <w:lang w:val="tr-TR"/>
        </w:rPr>
      </w:pPr>
      <w:r w:rsidRPr="009E1088">
        <w:rPr>
          <w:lang w:val="tr-TR"/>
        </w:rPr>
        <w:t>MADDE 5</w:t>
      </w:r>
      <w:r w:rsidRPr="009E1088">
        <w:rPr>
          <w:lang w:val="tr-TR"/>
        </w:rPr>
        <w:tab/>
        <w:t>FATURALAMA TARİHİ</w:t>
      </w:r>
    </w:p>
    <w:p w:rsidR="00F94A7D" w:rsidRPr="009E1088" w:rsidRDefault="00F94A7D" w:rsidP="00F94A7D">
      <w:pPr>
        <w:rPr>
          <w:lang w:val="tr-TR"/>
        </w:rPr>
      </w:pPr>
    </w:p>
    <w:p w:rsidR="00F94A7D" w:rsidRPr="009E1088" w:rsidRDefault="00F94A7D" w:rsidP="00F94A7D">
      <w:pPr>
        <w:rPr>
          <w:lang w:val="tr-TR"/>
        </w:rPr>
      </w:pPr>
      <w:r w:rsidRPr="009E1088">
        <w:rPr>
          <w:lang w:val="tr-TR"/>
        </w:rPr>
        <w:t xml:space="preserve">Satıcı, bir takvim ayında satmış olduğu elektrik miktarını belirten bir faturayı, </w:t>
      </w:r>
      <w:r>
        <w:rPr>
          <w:lang w:val="tr-TR"/>
        </w:rPr>
        <w:t xml:space="preserve">o </w:t>
      </w:r>
      <w:r w:rsidRPr="009E1088">
        <w:rPr>
          <w:lang w:val="tr-TR"/>
        </w:rPr>
        <w:t xml:space="preserve">takvim ayının </w:t>
      </w:r>
      <w:r>
        <w:rPr>
          <w:lang w:val="tr-TR"/>
        </w:rPr>
        <w:t>son</w:t>
      </w:r>
      <w:r w:rsidRPr="009E1088">
        <w:rPr>
          <w:lang w:val="tr-TR"/>
        </w:rPr>
        <w:t xml:space="preserve"> günü kesecek ve faturayı en geç bu fatura kesim tarihinden itibaren </w:t>
      </w:r>
      <w:r>
        <w:rPr>
          <w:lang w:val="tr-TR"/>
        </w:rPr>
        <w:t>beş</w:t>
      </w:r>
      <w:r w:rsidRPr="009E1088">
        <w:rPr>
          <w:lang w:val="tr-TR"/>
        </w:rPr>
        <w:t xml:space="preserve"> (</w:t>
      </w:r>
      <w:r>
        <w:rPr>
          <w:lang w:val="tr-TR"/>
        </w:rPr>
        <w:t>5</w:t>
      </w:r>
      <w:r w:rsidRPr="009E1088">
        <w:rPr>
          <w:lang w:val="tr-TR"/>
        </w:rPr>
        <w:t xml:space="preserve">) gün içinde Alıcı’ya gönderecektir. </w:t>
      </w:r>
    </w:p>
    <w:p w:rsidR="00F94A7D" w:rsidRPr="00A968E7" w:rsidRDefault="00F94A7D" w:rsidP="00F94A7D">
      <w:pPr>
        <w:keepNext/>
        <w:keepLines/>
        <w:tabs>
          <w:tab w:val="left" w:pos="1418"/>
        </w:tabs>
        <w:spacing w:before="480" w:after="0"/>
        <w:jc w:val="left"/>
        <w:outlineLvl w:val="0"/>
        <w:rPr>
          <w:rFonts w:ascii="Garamond" w:hAnsi="Garamond"/>
          <w:b/>
          <w:bCs/>
          <w:sz w:val="24"/>
          <w:szCs w:val="28"/>
          <w:lang w:val="tr-TR"/>
        </w:rPr>
      </w:pPr>
      <w:r w:rsidRPr="00A968E7">
        <w:rPr>
          <w:rFonts w:ascii="Garamond" w:hAnsi="Garamond"/>
          <w:b/>
          <w:bCs/>
          <w:sz w:val="24"/>
          <w:szCs w:val="28"/>
          <w:lang w:val="tr-TR"/>
        </w:rPr>
        <w:t xml:space="preserve">MADDE 6 </w:t>
      </w:r>
      <w:r w:rsidRPr="00A968E7">
        <w:rPr>
          <w:rFonts w:ascii="Garamond" w:hAnsi="Garamond"/>
          <w:b/>
          <w:bCs/>
          <w:sz w:val="24"/>
          <w:szCs w:val="28"/>
          <w:lang w:val="tr-TR"/>
        </w:rPr>
        <w:tab/>
        <w:t>DAMGA VERGİSİ</w:t>
      </w:r>
    </w:p>
    <w:p w:rsidR="00F94A7D" w:rsidRPr="00A968E7" w:rsidRDefault="00F94A7D" w:rsidP="00F94A7D">
      <w:pPr>
        <w:rPr>
          <w:lang w:val="tr-TR"/>
        </w:rPr>
      </w:pPr>
    </w:p>
    <w:p w:rsidR="00F94A7D" w:rsidRPr="00A968E7" w:rsidRDefault="00F94A7D" w:rsidP="00F94A7D">
      <w:pPr>
        <w:rPr>
          <w:lang w:val="tr-TR"/>
        </w:rPr>
      </w:pPr>
      <w:r w:rsidRPr="00A968E7">
        <w:rPr>
          <w:lang w:val="tr-TR"/>
        </w:rPr>
        <w:t>İşbu Münferit Sözleşme’den doğan damga vergisi, [</w:t>
      </w:r>
      <w:r w:rsidRPr="00185F51">
        <w:rPr>
          <w:rFonts w:ascii="Garamond" w:hAnsi="Garamond"/>
          <w:lang w:val="tr-TR"/>
        </w:rPr>
        <w:t>●</w:t>
      </w:r>
      <w:r w:rsidRPr="00A968E7">
        <w:rPr>
          <w:lang w:val="tr-TR"/>
        </w:rPr>
        <w:t xml:space="preserve">] tarafından karşılanacaktır. </w:t>
      </w:r>
    </w:p>
    <w:p w:rsidR="00F94A7D" w:rsidRDefault="00F94A7D" w:rsidP="00F94A7D">
      <w:pPr>
        <w:rPr>
          <w:lang w:val="tr-TR"/>
        </w:rPr>
      </w:pPr>
    </w:p>
    <w:p w:rsidR="00F94A7D" w:rsidRPr="00F016A0" w:rsidRDefault="00F94A7D" w:rsidP="00F94A7D">
      <w:pPr>
        <w:rPr>
          <w:lang w:val="tr-TR"/>
        </w:rPr>
      </w:pPr>
      <w:r w:rsidRPr="00F016A0">
        <w:rPr>
          <w:lang w:val="tr-TR"/>
        </w:rPr>
        <w:t>İşbu Münferit Sözleşme  [</w:t>
      </w:r>
      <w:r w:rsidRPr="00F016A0">
        <w:rPr>
          <w:rFonts w:ascii="Garamond" w:hAnsi="Garamond"/>
          <w:lang w:val="tr-TR"/>
        </w:rPr>
        <w:t>●</w:t>
      </w:r>
      <w:r w:rsidRPr="00F016A0">
        <w:rPr>
          <w:lang w:val="tr-TR"/>
        </w:rPr>
        <w:t xml:space="preserve">] tarihinde bir nüsha olarak imzalanmış olup, Münferit Sözleşme’nin aslı </w:t>
      </w:r>
      <w:r>
        <w:rPr>
          <w:lang w:val="tr-TR"/>
        </w:rPr>
        <w:t>[</w:t>
      </w:r>
      <w:r w:rsidRPr="00185F51">
        <w:rPr>
          <w:rFonts w:ascii="Garamond" w:hAnsi="Garamond"/>
          <w:lang w:val="tr-TR"/>
        </w:rPr>
        <w:t>●</w:t>
      </w:r>
      <w:r>
        <w:rPr>
          <w:lang w:val="tr-TR"/>
        </w:rPr>
        <w:t>]</w:t>
      </w:r>
      <w:r w:rsidRPr="00F016A0">
        <w:rPr>
          <w:lang w:val="tr-TR"/>
        </w:rPr>
        <w:t xml:space="preserve"> tarafından saklanacaktır.  </w:t>
      </w:r>
    </w:p>
    <w:p w:rsidR="00F94A7D" w:rsidRDefault="00F94A7D" w:rsidP="00F94A7D">
      <w:pPr>
        <w:rPr>
          <w:lang w:val="tr-TR"/>
        </w:rPr>
      </w:pPr>
    </w:p>
    <w:p w:rsidR="00F94A7D" w:rsidRPr="004441C8" w:rsidRDefault="00F94A7D" w:rsidP="00F94A7D">
      <w:pPr>
        <w:rPr>
          <w:lang w:val="tr-TR"/>
        </w:rPr>
      </w:pPr>
    </w:p>
    <w:p w:rsidR="00F94A7D" w:rsidRDefault="00F94A7D" w:rsidP="00F94A7D">
      <w:pPr>
        <w:jc w:val="center"/>
      </w:pPr>
      <w:r w:rsidRPr="002432E6">
        <w:rPr>
          <w:lang w:val="tr-TR"/>
        </w:rPr>
        <w:t>Tarih:</w:t>
      </w:r>
      <w:r w:rsidRPr="002432E6">
        <w:rPr>
          <w:u w:val="single"/>
          <w:lang w:val="tr-TR"/>
        </w:rPr>
        <w:tab/>
      </w:r>
      <w:r>
        <w:rPr>
          <w:u w:val="single"/>
          <w:lang w:val="tr-TR"/>
        </w:rPr>
        <w:t xml:space="preserve">      </w:t>
      </w:r>
      <w:r w:rsidRPr="002432E6">
        <w:rPr>
          <w:lang w:val="tr-TR"/>
        </w:rPr>
        <w:tab/>
        <w:t>İmza:</w:t>
      </w:r>
      <w:r w:rsidRPr="002432E6">
        <w:rPr>
          <w:u w:val="single"/>
          <w:lang w:val="tr-TR"/>
        </w:rPr>
        <w:tab/>
      </w:r>
    </w:p>
    <w:p w:rsidR="00D77992" w:rsidRPr="00F94A7D" w:rsidRDefault="00F339B3" w:rsidP="00F94A7D">
      <w:bookmarkStart w:id="0" w:name="_GoBack"/>
      <w:bookmarkEnd w:id="0"/>
    </w:p>
    <w:sectPr w:rsidR="00D77992" w:rsidRPr="00F94A7D" w:rsidSect="002B106B">
      <w:footerReference w:type="default" r:id="rId8"/>
      <w:footerReference w:type="firs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9B3" w:rsidRDefault="00F339B3">
      <w:pPr>
        <w:spacing w:after="0"/>
      </w:pPr>
      <w:r>
        <w:separator/>
      </w:r>
    </w:p>
  </w:endnote>
  <w:endnote w:type="continuationSeparator" w:id="0">
    <w:p w:rsidR="00F339B3" w:rsidRDefault="00F339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MT">
    <w:altName w:val="Garamond"/>
    <w:charset w:val="EE"/>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344" w:rsidRDefault="006A3344" w:rsidP="006A3344">
    <w:pPr>
      <w:tabs>
        <w:tab w:val="center" w:pos="4320"/>
      </w:tabs>
      <w:jc w:val="center"/>
      <w:rPr>
        <w:rStyle w:val="PageNumber"/>
      </w:rPr>
    </w:pPr>
    <w:r>
      <w:rPr>
        <w:sz w:val="16"/>
        <w:szCs w:val="16"/>
      </w:rPr>
      <w:t>A</w:t>
    </w:r>
    <w:r>
      <w:rPr>
        <w:rStyle w:val="PageNumber"/>
      </w:rPr>
      <w:t xml:space="preserve">nnex 2D - </w:t>
    </w:r>
    <w:r>
      <w:rPr>
        <w:rStyle w:val="PageNumber"/>
      </w:rPr>
      <w:fldChar w:fldCharType="begin"/>
    </w:r>
    <w:r>
      <w:rPr>
        <w:rStyle w:val="PageNumber"/>
      </w:rPr>
      <w:instrText xml:space="preserve"> PAGE </w:instrText>
    </w:r>
    <w:r>
      <w:rPr>
        <w:rStyle w:val="PageNumber"/>
      </w:rPr>
      <w:fldChar w:fldCharType="separate"/>
    </w:r>
    <w:r w:rsidR="00F94A7D">
      <w:rPr>
        <w:rStyle w:val="PageNumber"/>
        <w:noProof/>
      </w:rPr>
      <w:t>2</w:t>
    </w:r>
    <w:r>
      <w:rPr>
        <w:rStyle w:val="PageNumber"/>
      </w:rPr>
      <w:fldChar w:fldCharType="end"/>
    </w:r>
  </w:p>
  <w:p w:rsidR="006A3344" w:rsidRDefault="006A3344" w:rsidP="006A3344">
    <w:pPr>
      <w:tabs>
        <w:tab w:val="center" w:pos="4320"/>
      </w:tabs>
      <w:rPr>
        <w:rStyle w:val="PageNumber"/>
      </w:rPr>
    </w:pPr>
  </w:p>
  <w:p w:rsidR="006A3344" w:rsidRDefault="006A3344" w:rsidP="006A3344">
    <w:pPr>
      <w:ind w:right="29"/>
      <w:rPr>
        <w:b/>
      </w:rPr>
    </w:pPr>
    <w:r>
      <w:rPr>
        <w:b/>
      </w:rPr>
      <w:t xml:space="preserve">Version 2.1(a) </w:t>
    </w:r>
    <w:r>
      <w:rPr>
        <w:b/>
      </w:rPr>
      <w:tab/>
    </w:r>
    <w:r>
      <w:rPr>
        <w:b/>
      </w:rPr>
      <w:tab/>
    </w:r>
    <w:r>
      <w:rPr>
        <w:b/>
      </w:rPr>
      <w:tab/>
    </w:r>
    <w:r>
      <w:rPr>
        <w:b/>
      </w:rPr>
      <w:tab/>
    </w:r>
    <w:r w:rsidRPr="003C228E">
      <w:rPr>
        <w:b/>
      </w:rPr>
      <w:t>Copyright © 200</w:t>
    </w:r>
    <w:r>
      <w:rPr>
        <w:b/>
      </w:rPr>
      <w:t>7</w:t>
    </w:r>
    <w:r w:rsidRPr="003C228E">
      <w:rPr>
        <w:b/>
      </w:rPr>
      <w:t xml:space="preserve"> by European Federation of Energy Traders</w:t>
    </w:r>
  </w:p>
  <w:p w:rsidR="00463422" w:rsidRPr="00470304" w:rsidRDefault="00F339B3" w:rsidP="004703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422" w:rsidRDefault="0047144F" w:rsidP="00516A15">
    <w:pPr>
      <w:tabs>
        <w:tab w:val="center" w:pos="4320"/>
      </w:tabs>
      <w:jc w:val="center"/>
      <w:rPr>
        <w:rStyle w:val="PageNumber"/>
      </w:rPr>
    </w:pPr>
    <w:r>
      <w:rPr>
        <w:sz w:val="16"/>
        <w:szCs w:val="16"/>
      </w:rPr>
      <w:t>A</w:t>
    </w:r>
    <w:r>
      <w:rPr>
        <w:rStyle w:val="PageNumber"/>
      </w:rPr>
      <w:t xml:space="preserve">nnex 2D -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463422" w:rsidRDefault="00F339B3" w:rsidP="00516A15">
    <w:pPr>
      <w:tabs>
        <w:tab w:val="center" w:pos="4320"/>
      </w:tabs>
      <w:rPr>
        <w:rStyle w:val="PageNumber"/>
      </w:rPr>
    </w:pPr>
  </w:p>
  <w:p w:rsidR="00463422" w:rsidRDefault="0047144F" w:rsidP="00516A15">
    <w:pPr>
      <w:ind w:right="29"/>
      <w:rPr>
        <w:b/>
      </w:rPr>
    </w:pPr>
    <w:r>
      <w:rPr>
        <w:b/>
      </w:rPr>
      <w:t xml:space="preserve">Version 2.1(a) </w:t>
    </w:r>
    <w:r>
      <w:rPr>
        <w:b/>
      </w:rPr>
      <w:tab/>
    </w:r>
    <w:r>
      <w:rPr>
        <w:b/>
      </w:rPr>
      <w:tab/>
    </w:r>
    <w:r>
      <w:rPr>
        <w:b/>
      </w:rPr>
      <w:tab/>
    </w:r>
    <w:r>
      <w:rPr>
        <w:b/>
      </w:rPr>
      <w:tab/>
    </w:r>
    <w:r w:rsidRPr="003C228E">
      <w:rPr>
        <w:b/>
      </w:rPr>
      <w:t>Copyright © 200</w:t>
    </w:r>
    <w:r>
      <w:rPr>
        <w:b/>
      </w:rPr>
      <w:t>7</w:t>
    </w:r>
    <w:r w:rsidRPr="003C228E">
      <w:rPr>
        <w:b/>
      </w:rPr>
      <w:t xml:space="preserve"> by European Federation of Energy Traders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9B3" w:rsidRDefault="00F339B3">
      <w:pPr>
        <w:spacing w:after="0"/>
      </w:pPr>
      <w:r>
        <w:separator/>
      </w:r>
    </w:p>
  </w:footnote>
  <w:footnote w:type="continuationSeparator" w:id="0">
    <w:p w:rsidR="00F339B3" w:rsidRDefault="00F339B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24F13"/>
    <w:multiLevelType w:val="hybridMultilevel"/>
    <w:tmpl w:val="D520CDC0"/>
    <w:lvl w:ilvl="0" w:tplc="F4FC13F6">
      <w:start w:val="1"/>
      <w:numFmt w:val="lowerLetter"/>
      <w:lvlText w:val="%1)"/>
      <w:lvlJc w:val="left"/>
      <w:pPr>
        <w:tabs>
          <w:tab w:val="num" w:pos="648"/>
        </w:tabs>
        <w:ind w:left="576"/>
      </w:pPr>
      <w:rPr>
        <w:snapToGrid/>
        <w:spacing w:val="2"/>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C185617"/>
    <w:multiLevelType w:val="hybridMultilevel"/>
    <w:tmpl w:val="D520CDC0"/>
    <w:lvl w:ilvl="0" w:tplc="F4FC13F6">
      <w:start w:val="1"/>
      <w:numFmt w:val="lowerLetter"/>
      <w:lvlText w:val="%1)"/>
      <w:lvlJc w:val="left"/>
      <w:pPr>
        <w:tabs>
          <w:tab w:val="num" w:pos="648"/>
        </w:tabs>
        <w:ind w:left="576"/>
      </w:pPr>
      <w:rPr>
        <w:snapToGrid/>
        <w:spacing w:val="2"/>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44F"/>
    <w:rsid w:val="0047144F"/>
    <w:rsid w:val="006A3344"/>
    <w:rsid w:val="006B6078"/>
    <w:rsid w:val="007C0E39"/>
    <w:rsid w:val="00DF4AD9"/>
    <w:rsid w:val="00F339B3"/>
    <w:rsid w:val="00F94A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44F"/>
    <w:pPr>
      <w:spacing w:after="40" w:line="240" w:lineRule="auto"/>
      <w:jc w:val="both"/>
    </w:pPr>
    <w:rPr>
      <w:rFonts w:ascii="Garamond MT" w:eastAsia="Times New Roman" w:hAnsi="Garamond MT" w:cs="Times New Roman"/>
      <w:sz w:val="20"/>
      <w:szCs w:val="24"/>
    </w:rPr>
  </w:style>
  <w:style w:type="paragraph" w:styleId="Heading1">
    <w:name w:val="heading 1"/>
    <w:basedOn w:val="Normal"/>
    <w:next w:val="Normal"/>
    <w:link w:val="Heading1Char"/>
    <w:uiPriority w:val="9"/>
    <w:qFormat/>
    <w:rsid w:val="00F94A7D"/>
    <w:pPr>
      <w:keepNext/>
      <w:keepLines/>
      <w:spacing w:before="480" w:after="0"/>
      <w:jc w:val="left"/>
      <w:outlineLvl w:val="0"/>
    </w:pPr>
    <w:rPr>
      <w:rFonts w:ascii="Garamond" w:eastAsiaTheme="majorEastAsia" w:hAnsi="Garamond"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47144F"/>
    <w:rPr>
      <w:sz w:val="18"/>
      <w:szCs w:val="20"/>
    </w:rPr>
  </w:style>
  <w:style w:type="character" w:customStyle="1" w:styleId="FootnoteTextChar">
    <w:name w:val="Footnote Text Char"/>
    <w:basedOn w:val="DefaultParagraphFont"/>
    <w:link w:val="FootnoteText"/>
    <w:semiHidden/>
    <w:rsid w:val="0047144F"/>
    <w:rPr>
      <w:rFonts w:ascii="Garamond MT" w:eastAsia="Times New Roman" w:hAnsi="Garamond MT" w:cs="Times New Roman"/>
      <w:sz w:val="18"/>
      <w:szCs w:val="20"/>
    </w:rPr>
  </w:style>
  <w:style w:type="character" w:styleId="PageNumber">
    <w:name w:val="page number"/>
    <w:basedOn w:val="DefaultParagraphFont"/>
    <w:rsid w:val="0047144F"/>
  </w:style>
  <w:style w:type="paragraph" w:styleId="Footer">
    <w:name w:val="footer"/>
    <w:basedOn w:val="Normal"/>
    <w:link w:val="FooterChar"/>
    <w:uiPriority w:val="99"/>
    <w:unhideWhenUsed/>
    <w:rsid w:val="0047144F"/>
    <w:pPr>
      <w:tabs>
        <w:tab w:val="center" w:pos="4703"/>
        <w:tab w:val="right" w:pos="9406"/>
      </w:tabs>
      <w:spacing w:after="0"/>
    </w:pPr>
  </w:style>
  <w:style w:type="character" w:customStyle="1" w:styleId="FooterChar">
    <w:name w:val="Footer Char"/>
    <w:basedOn w:val="DefaultParagraphFont"/>
    <w:link w:val="Footer"/>
    <w:uiPriority w:val="99"/>
    <w:rsid w:val="0047144F"/>
    <w:rPr>
      <w:rFonts w:ascii="Garamond MT" w:eastAsia="Times New Roman" w:hAnsi="Garamond MT" w:cs="Times New Roman"/>
      <w:sz w:val="20"/>
      <w:szCs w:val="24"/>
    </w:rPr>
  </w:style>
  <w:style w:type="paragraph" w:styleId="Header">
    <w:name w:val="header"/>
    <w:basedOn w:val="Normal"/>
    <w:link w:val="HeaderChar"/>
    <w:uiPriority w:val="99"/>
    <w:unhideWhenUsed/>
    <w:rsid w:val="006A3344"/>
    <w:pPr>
      <w:tabs>
        <w:tab w:val="center" w:pos="4513"/>
        <w:tab w:val="right" w:pos="9026"/>
      </w:tabs>
      <w:spacing w:after="0"/>
    </w:pPr>
  </w:style>
  <w:style w:type="character" w:customStyle="1" w:styleId="HeaderChar">
    <w:name w:val="Header Char"/>
    <w:basedOn w:val="DefaultParagraphFont"/>
    <w:link w:val="Header"/>
    <w:uiPriority w:val="99"/>
    <w:rsid w:val="006A3344"/>
    <w:rPr>
      <w:rFonts w:ascii="Garamond MT" w:eastAsia="Times New Roman" w:hAnsi="Garamond MT" w:cs="Times New Roman"/>
      <w:sz w:val="20"/>
      <w:szCs w:val="24"/>
    </w:rPr>
  </w:style>
  <w:style w:type="character" w:customStyle="1" w:styleId="Heading1Char">
    <w:name w:val="Heading 1 Char"/>
    <w:basedOn w:val="DefaultParagraphFont"/>
    <w:link w:val="Heading1"/>
    <w:uiPriority w:val="9"/>
    <w:rsid w:val="00F94A7D"/>
    <w:rPr>
      <w:rFonts w:ascii="Garamond" w:eastAsiaTheme="majorEastAsia" w:hAnsi="Garamond" w:cstheme="majorBidi"/>
      <w:b/>
      <w:bCs/>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44F"/>
    <w:pPr>
      <w:spacing w:after="40" w:line="240" w:lineRule="auto"/>
      <w:jc w:val="both"/>
    </w:pPr>
    <w:rPr>
      <w:rFonts w:ascii="Garamond MT" w:eastAsia="Times New Roman" w:hAnsi="Garamond MT" w:cs="Times New Roman"/>
      <w:sz w:val="20"/>
      <w:szCs w:val="24"/>
    </w:rPr>
  </w:style>
  <w:style w:type="paragraph" w:styleId="Heading1">
    <w:name w:val="heading 1"/>
    <w:basedOn w:val="Normal"/>
    <w:next w:val="Normal"/>
    <w:link w:val="Heading1Char"/>
    <w:uiPriority w:val="9"/>
    <w:qFormat/>
    <w:rsid w:val="00F94A7D"/>
    <w:pPr>
      <w:keepNext/>
      <w:keepLines/>
      <w:spacing w:before="480" w:after="0"/>
      <w:jc w:val="left"/>
      <w:outlineLvl w:val="0"/>
    </w:pPr>
    <w:rPr>
      <w:rFonts w:ascii="Garamond" w:eastAsiaTheme="majorEastAsia" w:hAnsi="Garamond"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47144F"/>
    <w:rPr>
      <w:sz w:val="18"/>
      <w:szCs w:val="20"/>
    </w:rPr>
  </w:style>
  <w:style w:type="character" w:customStyle="1" w:styleId="FootnoteTextChar">
    <w:name w:val="Footnote Text Char"/>
    <w:basedOn w:val="DefaultParagraphFont"/>
    <w:link w:val="FootnoteText"/>
    <w:semiHidden/>
    <w:rsid w:val="0047144F"/>
    <w:rPr>
      <w:rFonts w:ascii="Garamond MT" w:eastAsia="Times New Roman" w:hAnsi="Garamond MT" w:cs="Times New Roman"/>
      <w:sz w:val="18"/>
      <w:szCs w:val="20"/>
    </w:rPr>
  </w:style>
  <w:style w:type="character" w:styleId="PageNumber">
    <w:name w:val="page number"/>
    <w:basedOn w:val="DefaultParagraphFont"/>
    <w:rsid w:val="0047144F"/>
  </w:style>
  <w:style w:type="paragraph" w:styleId="Footer">
    <w:name w:val="footer"/>
    <w:basedOn w:val="Normal"/>
    <w:link w:val="FooterChar"/>
    <w:uiPriority w:val="99"/>
    <w:unhideWhenUsed/>
    <w:rsid w:val="0047144F"/>
    <w:pPr>
      <w:tabs>
        <w:tab w:val="center" w:pos="4703"/>
        <w:tab w:val="right" w:pos="9406"/>
      </w:tabs>
      <w:spacing w:after="0"/>
    </w:pPr>
  </w:style>
  <w:style w:type="character" w:customStyle="1" w:styleId="FooterChar">
    <w:name w:val="Footer Char"/>
    <w:basedOn w:val="DefaultParagraphFont"/>
    <w:link w:val="Footer"/>
    <w:uiPriority w:val="99"/>
    <w:rsid w:val="0047144F"/>
    <w:rPr>
      <w:rFonts w:ascii="Garamond MT" w:eastAsia="Times New Roman" w:hAnsi="Garamond MT" w:cs="Times New Roman"/>
      <w:sz w:val="20"/>
      <w:szCs w:val="24"/>
    </w:rPr>
  </w:style>
  <w:style w:type="paragraph" w:styleId="Header">
    <w:name w:val="header"/>
    <w:basedOn w:val="Normal"/>
    <w:link w:val="HeaderChar"/>
    <w:uiPriority w:val="99"/>
    <w:unhideWhenUsed/>
    <w:rsid w:val="006A3344"/>
    <w:pPr>
      <w:tabs>
        <w:tab w:val="center" w:pos="4513"/>
        <w:tab w:val="right" w:pos="9026"/>
      </w:tabs>
      <w:spacing w:after="0"/>
    </w:pPr>
  </w:style>
  <w:style w:type="character" w:customStyle="1" w:styleId="HeaderChar">
    <w:name w:val="Header Char"/>
    <w:basedOn w:val="DefaultParagraphFont"/>
    <w:link w:val="Header"/>
    <w:uiPriority w:val="99"/>
    <w:rsid w:val="006A3344"/>
    <w:rPr>
      <w:rFonts w:ascii="Garamond MT" w:eastAsia="Times New Roman" w:hAnsi="Garamond MT" w:cs="Times New Roman"/>
      <w:sz w:val="20"/>
      <w:szCs w:val="24"/>
    </w:rPr>
  </w:style>
  <w:style w:type="character" w:customStyle="1" w:styleId="Heading1Char">
    <w:name w:val="Heading 1 Char"/>
    <w:basedOn w:val="DefaultParagraphFont"/>
    <w:link w:val="Heading1"/>
    <w:uiPriority w:val="9"/>
    <w:rsid w:val="00F94A7D"/>
    <w:rPr>
      <w:rFonts w:ascii="Garamond" w:eastAsiaTheme="majorEastAsia" w:hAnsi="Garamond" w:cstheme="majorBidi"/>
      <w:b/>
      <w:b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1029</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Lenka Hajnovicova</dc:creator>
  <cp:lastModifiedBy>Lenka Hajnovicova</cp:lastModifiedBy>
  <cp:revision>3</cp:revision>
  <dcterms:created xsi:type="dcterms:W3CDTF">2012-12-10T10:03:00Z</dcterms:created>
  <dcterms:modified xsi:type="dcterms:W3CDTF">2012-12-10T13:21:00Z</dcterms:modified>
</cp:coreProperties>
</file>