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CB13" w14:textId="77777777" w:rsidR="00B55F5E" w:rsidRPr="000F2824" w:rsidRDefault="00B55F5E">
      <w:pPr>
        <w:rPr>
          <w:rFonts w:ascii="Times New Roman" w:hAnsi="Times New Roman"/>
          <w:lang w:val="en-US"/>
        </w:rPr>
      </w:pPr>
    </w:p>
    <w:p w14:paraId="2E6A279C" w14:textId="77777777" w:rsidR="00B55F5E" w:rsidRPr="000F2824" w:rsidRDefault="00B55F5E" w:rsidP="00FC40FC">
      <w:pPr>
        <w:jc w:val="both"/>
        <w:rPr>
          <w:rFonts w:ascii="Times New Roman" w:hAnsi="Times New Roman"/>
          <w:lang w:val="en-US"/>
        </w:rPr>
      </w:pPr>
    </w:p>
    <w:p w14:paraId="02E8F61D" w14:textId="77777777" w:rsidR="000F2824" w:rsidRPr="000F2824" w:rsidRDefault="000F2824" w:rsidP="000F2824">
      <w:pPr>
        <w:jc w:val="center"/>
        <w:rPr>
          <w:rFonts w:ascii="Times New Roman" w:hAnsi="Times New Roman"/>
          <w:b/>
          <w:sz w:val="44"/>
          <w:lang w:val="en-US"/>
        </w:rPr>
      </w:pPr>
      <w:r w:rsidRPr="000F2824">
        <w:rPr>
          <w:rFonts w:ascii="Times New Roman" w:hAnsi="Times New Roman"/>
          <w:b/>
          <w:sz w:val="44"/>
          <w:lang w:val="en-US"/>
        </w:rPr>
        <w:t>EFET</w:t>
      </w:r>
    </w:p>
    <w:p w14:paraId="3E3673FA" w14:textId="77777777" w:rsidR="000F2824" w:rsidRPr="000F2824" w:rsidRDefault="000F2824" w:rsidP="000F2824">
      <w:pPr>
        <w:tabs>
          <w:tab w:val="left" w:pos="7785"/>
        </w:tabs>
        <w:rPr>
          <w:rFonts w:ascii="Times New Roman" w:hAnsi="Times New Roman"/>
          <w:sz w:val="36"/>
          <w:lang w:val="en-US"/>
        </w:rPr>
      </w:pPr>
      <w:r w:rsidRPr="000F2824">
        <w:rPr>
          <w:rFonts w:ascii="Times New Roman" w:hAnsi="Times New Roman"/>
          <w:sz w:val="36"/>
          <w:lang w:val="en-US"/>
        </w:rPr>
        <w:tab/>
      </w:r>
    </w:p>
    <w:p w14:paraId="4A0C1590" w14:textId="77777777" w:rsidR="000F2824" w:rsidRPr="000F2824" w:rsidRDefault="000F2824" w:rsidP="000F2824">
      <w:pPr>
        <w:jc w:val="center"/>
        <w:rPr>
          <w:rFonts w:ascii="Times New Roman" w:hAnsi="Times New Roman"/>
          <w:sz w:val="36"/>
          <w:lang w:val="en-US"/>
        </w:rPr>
      </w:pPr>
      <w:r w:rsidRPr="000F2824">
        <w:rPr>
          <w:rFonts w:ascii="Times New Roman" w:hAnsi="Times New Roman"/>
          <w:b/>
          <w:sz w:val="36"/>
          <w:lang w:val="en-US"/>
        </w:rPr>
        <w:t>European Federation of Energy Traders</w:t>
      </w:r>
    </w:p>
    <w:p w14:paraId="4CA41AB1" w14:textId="77777777" w:rsidR="000F2824" w:rsidRPr="000F2824" w:rsidRDefault="000F2824" w:rsidP="000F2824">
      <w:pPr>
        <w:jc w:val="center"/>
        <w:rPr>
          <w:rFonts w:ascii="Times New Roman" w:hAnsi="Times New Roman"/>
          <w:lang w:val="en-US"/>
        </w:rPr>
      </w:pPr>
    </w:p>
    <w:p w14:paraId="4EA0C8EC" w14:textId="77777777" w:rsidR="000F2824" w:rsidRPr="000F2824" w:rsidRDefault="000F2824" w:rsidP="000F2824">
      <w:pPr>
        <w:jc w:val="center"/>
        <w:rPr>
          <w:rFonts w:ascii="Times New Roman" w:hAnsi="Times New Roman"/>
          <w:lang w:val="nl-NL"/>
        </w:rPr>
      </w:pPr>
      <w:r w:rsidRPr="000F2824">
        <w:rPr>
          <w:rFonts w:ascii="Times New Roman" w:hAnsi="Times New Roman"/>
          <w:lang w:val="nl-NL"/>
        </w:rPr>
        <w:t>Amstelveenseweg 998 / 1081 JS  Amsterdam</w:t>
      </w:r>
      <w:r w:rsidRPr="000F2824">
        <w:rPr>
          <w:rFonts w:ascii="Times New Roman" w:hAnsi="Times New Roman"/>
          <w:lang w:val="nl-NL"/>
        </w:rPr>
        <w:br/>
        <w:t>Tel: +31 20 5207970 / Fax: +31 20 64 64 055</w:t>
      </w:r>
    </w:p>
    <w:p w14:paraId="0948F0A9" w14:textId="77777777" w:rsidR="000F2824" w:rsidRPr="000F2824" w:rsidRDefault="000F2824" w:rsidP="000F2824">
      <w:pPr>
        <w:pStyle w:val="BodyText"/>
        <w:rPr>
          <w:rFonts w:ascii="Times New Roman" w:hAnsi="Times New Roman"/>
          <w:caps/>
          <w:smallCaps/>
          <w:lang w:val="nl-NL"/>
        </w:rPr>
      </w:pPr>
    </w:p>
    <w:p w14:paraId="4E453E96" w14:textId="77777777" w:rsidR="000F2824" w:rsidRPr="000F2824" w:rsidRDefault="000F2824" w:rsidP="000F2824">
      <w:pPr>
        <w:jc w:val="center"/>
        <w:rPr>
          <w:rFonts w:ascii="Times New Roman" w:hAnsi="Times New Roman"/>
          <w:lang w:val="de-DE"/>
        </w:rPr>
      </w:pPr>
      <w:r w:rsidRPr="000F2824">
        <w:rPr>
          <w:rFonts w:ascii="Times New Roman" w:hAnsi="Times New Roman"/>
          <w:u w:val="single"/>
          <w:lang w:val="de-DE"/>
        </w:rPr>
        <w:t>E-mail: secretariat@efet.org</w:t>
      </w:r>
    </w:p>
    <w:p w14:paraId="517EED5D" w14:textId="77777777" w:rsidR="000F2824" w:rsidRPr="000F2824" w:rsidRDefault="000F2824" w:rsidP="000F2824">
      <w:pPr>
        <w:pStyle w:val="BodyText"/>
        <w:rPr>
          <w:rFonts w:ascii="Times New Roman" w:hAnsi="Times New Roman"/>
          <w:caps/>
          <w:smallCaps/>
          <w:u w:val="single"/>
          <w:lang w:val="de-DE"/>
        </w:rPr>
      </w:pPr>
    </w:p>
    <w:p w14:paraId="0D64DFB5" w14:textId="77777777" w:rsidR="000F2824" w:rsidRPr="000F2824" w:rsidRDefault="000F2824" w:rsidP="000F2824">
      <w:pPr>
        <w:jc w:val="center"/>
        <w:rPr>
          <w:rFonts w:ascii="Times New Roman" w:hAnsi="Times New Roman"/>
          <w:lang w:val="en-US"/>
        </w:rPr>
      </w:pPr>
      <w:r w:rsidRPr="000F2824">
        <w:rPr>
          <w:rFonts w:ascii="Times New Roman" w:hAnsi="Times New Roman"/>
          <w:lang w:val="en-US"/>
        </w:rPr>
        <w:t>Webpage: www.efet.org</w:t>
      </w:r>
    </w:p>
    <w:p w14:paraId="71E6CAD6" w14:textId="77777777" w:rsidR="000F2824" w:rsidRPr="000F2824" w:rsidRDefault="000F2824" w:rsidP="000F2824">
      <w:pPr>
        <w:pStyle w:val="BodyText"/>
        <w:rPr>
          <w:rFonts w:ascii="Times New Roman" w:hAnsi="Times New Roman"/>
          <w:caps/>
          <w:smallCaps/>
          <w:lang w:val="en-US"/>
        </w:rPr>
      </w:pPr>
    </w:p>
    <w:p w14:paraId="3E007AC3" w14:textId="1CD21B11" w:rsidR="000F2824" w:rsidRPr="000F2824" w:rsidRDefault="000F2824" w:rsidP="000F2824">
      <w:pPr>
        <w:jc w:val="both"/>
        <w:rPr>
          <w:rFonts w:ascii="Times New Roman" w:hAnsi="Times New Roman"/>
          <w:b/>
          <w:lang w:val="en-US"/>
        </w:rPr>
      </w:pPr>
      <w:r w:rsidRPr="000F2824">
        <w:rPr>
          <w:rFonts w:ascii="Times New Roman" w:hAnsi="Times New Roman"/>
          <w:b/>
          <w:u w:val="single"/>
          <w:lang w:val="en-US"/>
        </w:rPr>
        <w:t>WAIVER:</w:t>
      </w:r>
      <w:r w:rsidRPr="000F2824">
        <w:rPr>
          <w:rFonts w:ascii="Times New Roman" w:hAnsi="Times New Roman"/>
          <w:b/>
          <w:lang w:val="en-US"/>
        </w:rPr>
        <w:t xml:space="preserve"> THE FOLLOWING GUIDANCE NOTES FOR THE SPANISH MARKET WERE PREPARED BY EFET’S MEMBERS EXERCISING ALL REASONABLE CARE. HOWEVER, EFET, OR ITS AFFLIATED MEMBERS, REPRESENTATIVES AND COUNSEL INVOLVED IN ITS PREPARATION SHALL NOT BE LIABLE OR OTHERWISE RESPONSIBLE FOR </w:t>
      </w:r>
      <w:r>
        <w:rPr>
          <w:rFonts w:ascii="Times New Roman" w:hAnsi="Times New Roman"/>
          <w:b/>
          <w:lang w:val="en-US"/>
        </w:rPr>
        <w:t>THEIR</w:t>
      </w:r>
      <w:r w:rsidRPr="000F2824">
        <w:rPr>
          <w:rFonts w:ascii="Times New Roman" w:hAnsi="Times New Roman"/>
          <w:b/>
          <w:lang w:val="en-US"/>
        </w:rPr>
        <w:t xml:space="preserve"> USE AND ANY DAMAGES OR LOSSES RESULTING OUT OF ITS USE IN ANY INDIVIDUAL CASE AND IN WHATEVER JURISDICTION.  IT IS THEREFORE THE RESPONSIBILITY OF EACH PARTY WISHING TO USE THE GUIDANCE NOTES TO ENSURE THAT CONTRACTUAL CONDITIONS OF THE PPA ARE LEGALLY BINDING, VALID AND ENFORCEABLE AND BEST SERVE TO PROTECT THE USER’S LEGAL INTEREST.  </w:t>
      </w:r>
    </w:p>
    <w:p w14:paraId="0A5CF99D" w14:textId="2BE0AB51" w:rsidR="000F2824" w:rsidRPr="000F2824" w:rsidRDefault="000F2824" w:rsidP="000F2824">
      <w:pPr>
        <w:jc w:val="both"/>
        <w:rPr>
          <w:rFonts w:ascii="Times New Roman" w:hAnsi="Times New Roman"/>
          <w:b/>
          <w:lang w:val="en-US"/>
        </w:rPr>
      </w:pPr>
    </w:p>
    <w:p w14:paraId="65190D81" w14:textId="3FBDBC0E" w:rsidR="000F2824" w:rsidRDefault="000F2824" w:rsidP="000F2824">
      <w:pPr>
        <w:jc w:val="both"/>
        <w:rPr>
          <w:rFonts w:ascii="Times New Roman" w:hAnsi="Times New Roman"/>
          <w:b/>
          <w:lang w:val="en-US"/>
        </w:rPr>
      </w:pPr>
      <w:r w:rsidRPr="000F2824">
        <w:rPr>
          <w:rFonts w:ascii="Times New Roman" w:hAnsi="Times New Roman"/>
          <w:b/>
          <w:lang w:val="en-US"/>
        </w:rPr>
        <w:t>FOLOWING GUIDANCE NOTES ARE A WORKING DOCUMENT OF EFET. PARTIES USING THE GUIDANCE NOTES WHEN NEGOTIATING A POWER PURCHASE AGREEMENT AS ISSUED BY EFET</w:t>
      </w:r>
      <w:r>
        <w:rPr>
          <w:rFonts w:ascii="Times New Roman" w:hAnsi="Times New Roman"/>
          <w:b/>
          <w:lang w:val="en-US"/>
        </w:rPr>
        <w:t>. FOLLOWING G</w:t>
      </w:r>
      <w:r w:rsidRPr="000F2824">
        <w:rPr>
          <w:rFonts w:ascii="Times New Roman" w:hAnsi="Times New Roman"/>
          <w:b/>
          <w:lang w:val="en-US"/>
        </w:rPr>
        <w:t>UIDANCE NOTES WILL BE CHANGED FROM TIME TO TIME IN VIEW OF CHANGING MARKET PRACTICE</w:t>
      </w:r>
      <w:r>
        <w:rPr>
          <w:rFonts w:ascii="Times New Roman" w:hAnsi="Times New Roman"/>
          <w:b/>
          <w:lang w:val="en-US"/>
        </w:rPr>
        <w:t>,</w:t>
      </w:r>
      <w:r w:rsidRPr="000F2824">
        <w:rPr>
          <w:rFonts w:ascii="Times New Roman" w:hAnsi="Times New Roman"/>
          <w:b/>
          <w:lang w:val="en-US"/>
        </w:rPr>
        <w:t xml:space="preserve"> O</w:t>
      </w:r>
      <w:r>
        <w:rPr>
          <w:rFonts w:ascii="Times New Roman" w:hAnsi="Times New Roman"/>
          <w:b/>
          <w:lang w:val="en-US"/>
        </w:rPr>
        <w:t>R</w:t>
      </w:r>
      <w:r w:rsidRPr="000F2824">
        <w:rPr>
          <w:rFonts w:ascii="Times New Roman" w:hAnsi="Times New Roman"/>
          <w:b/>
          <w:lang w:val="en-US"/>
        </w:rPr>
        <w:t xml:space="preserve"> CHANGE OF LAW</w:t>
      </w:r>
      <w:r>
        <w:rPr>
          <w:rFonts w:ascii="Times New Roman" w:hAnsi="Times New Roman"/>
          <w:b/>
          <w:lang w:val="en-US"/>
        </w:rPr>
        <w:t>,</w:t>
      </w:r>
      <w:r w:rsidRPr="000F2824">
        <w:rPr>
          <w:rFonts w:ascii="Times New Roman" w:hAnsi="Times New Roman"/>
          <w:b/>
          <w:lang w:val="en-US"/>
        </w:rPr>
        <w:t xml:space="preserve"> OR </w:t>
      </w:r>
      <w:r>
        <w:rPr>
          <w:rFonts w:ascii="Times New Roman" w:hAnsi="Times New Roman"/>
          <w:b/>
          <w:lang w:val="en-US"/>
        </w:rPr>
        <w:t xml:space="preserve">CHANGE OF </w:t>
      </w:r>
      <w:r w:rsidRPr="000F2824">
        <w:rPr>
          <w:rFonts w:ascii="Times New Roman" w:hAnsi="Times New Roman"/>
          <w:b/>
          <w:lang w:val="en-US"/>
        </w:rPr>
        <w:t>APPLICABLE REGULATION.</w:t>
      </w:r>
      <w:r w:rsidRPr="000F2824">
        <w:rPr>
          <w:rFonts w:ascii="Times New Roman" w:hAnsi="Times New Roman"/>
          <w:lang w:val="en-US"/>
        </w:rPr>
        <w:t xml:space="preserve"> </w:t>
      </w:r>
      <w:r w:rsidRPr="000F2824">
        <w:rPr>
          <w:rFonts w:ascii="Times New Roman" w:hAnsi="Times New Roman"/>
          <w:b/>
          <w:lang w:val="en-US"/>
        </w:rPr>
        <w:t xml:space="preserve">USERS OF THE GUIDANCE NOTES </w:t>
      </w:r>
      <w:r>
        <w:rPr>
          <w:rFonts w:ascii="Times New Roman" w:hAnsi="Times New Roman"/>
          <w:b/>
          <w:lang w:val="en-US"/>
        </w:rPr>
        <w:t>A</w:t>
      </w:r>
      <w:r w:rsidRPr="000F2824">
        <w:rPr>
          <w:rFonts w:ascii="Times New Roman" w:hAnsi="Times New Roman"/>
          <w:b/>
          <w:lang w:val="en-US"/>
        </w:rPr>
        <w:t>RE URGED TO CONSULT THEIR OWN COUNSEL</w:t>
      </w:r>
      <w:r>
        <w:rPr>
          <w:rFonts w:ascii="Times New Roman" w:hAnsi="Times New Roman"/>
          <w:b/>
          <w:lang w:val="en-US"/>
        </w:rPr>
        <w:t xml:space="preserve"> WHEN BRINGING CONTRCTUAL ARRANGEMENTS IN PLACE</w:t>
      </w:r>
      <w:r w:rsidRPr="000F2824">
        <w:rPr>
          <w:rFonts w:ascii="Times New Roman" w:hAnsi="Times New Roman"/>
          <w:b/>
          <w:lang w:val="en-US"/>
        </w:rPr>
        <w:t>.</w:t>
      </w:r>
    </w:p>
    <w:p w14:paraId="7D4ED807" w14:textId="77777777" w:rsidR="000F2824" w:rsidRPr="000F2824" w:rsidRDefault="000F2824" w:rsidP="000F2824">
      <w:pPr>
        <w:jc w:val="both"/>
        <w:rPr>
          <w:rFonts w:ascii="Times New Roman" w:hAnsi="Times New Roman"/>
          <w:b/>
          <w:lang w:val="en-US"/>
        </w:rPr>
      </w:pPr>
    </w:p>
    <w:p w14:paraId="32D3DFD4" w14:textId="4A55BD01" w:rsidR="000F2824" w:rsidRPr="000F2824" w:rsidRDefault="000F2824" w:rsidP="000F2824">
      <w:pPr>
        <w:jc w:val="center"/>
        <w:rPr>
          <w:rFonts w:ascii="Times New Roman" w:hAnsi="Times New Roman"/>
          <w:b/>
          <w:bCs/>
          <w:lang w:val="en-GB"/>
        </w:rPr>
      </w:pPr>
      <w:r w:rsidRPr="000F2824">
        <w:rPr>
          <w:rFonts w:ascii="Times New Roman" w:hAnsi="Times New Roman"/>
          <w:b/>
          <w:bCs/>
          <w:lang w:val="en-GB"/>
        </w:rPr>
        <w:t xml:space="preserve"> [</w:t>
      </w:r>
      <w:r>
        <w:rPr>
          <w:rFonts w:ascii="Times New Roman" w:hAnsi="Times New Roman"/>
          <w:b/>
          <w:bCs/>
          <w:lang w:val="en-GB"/>
        </w:rPr>
        <w:t xml:space="preserve">WORKING </w:t>
      </w:r>
      <w:r w:rsidRPr="000F2824">
        <w:rPr>
          <w:rFonts w:ascii="Times New Roman" w:hAnsi="Times New Roman"/>
          <w:b/>
          <w:bCs/>
          <w:lang w:val="en-GB"/>
        </w:rPr>
        <w:t>DRAFT]</w:t>
      </w:r>
    </w:p>
    <w:p w14:paraId="748E64B3" w14:textId="1E5835DB" w:rsidR="000F2824" w:rsidRPr="000F2824" w:rsidRDefault="000F2824" w:rsidP="000F2824">
      <w:pPr>
        <w:jc w:val="center"/>
        <w:rPr>
          <w:rFonts w:ascii="Times New Roman" w:hAnsi="Times New Roman"/>
          <w:lang w:val="en-GB"/>
        </w:rPr>
      </w:pPr>
      <w:r w:rsidRPr="000F2824">
        <w:rPr>
          <w:rFonts w:ascii="Times New Roman" w:hAnsi="Times New Roman"/>
          <w:lang w:val="en-GB"/>
        </w:rPr>
        <w:t>STATUS: 28 January 2020</w:t>
      </w:r>
    </w:p>
    <w:p w14:paraId="6A56768E" w14:textId="77777777" w:rsidR="000F2824" w:rsidRPr="000F2824" w:rsidRDefault="000F2824" w:rsidP="0017341A">
      <w:pPr>
        <w:rPr>
          <w:rFonts w:ascii="Times New Roman" w:hAnsi="Times New Roman"/>
          <w:lang w:val="en-GB"/>
        </w:rPr>
      </w:pPr>
    </w:p>
    <w:p w14:paraId="52E9404E" w14:textId="77777777" w:rsidR="000F2824" w:rsidRPr="000F2824" w:rsidRDefault="000F2824" w:rsidP="0017341A">
      <w:pPr>
        <w:rPr>
          <w:rFonts w:ascii="Times New Roman" w:hAnsi="Times New Roman"/>
          <w:lang w:val="en-GB"/>
        </w:rPr>
      </w:pPr>
    </w:p>
    <w:p w14:paraId="42B0944F" w14:textId="0B73ECE0" w:rsidR="0017341A" w:rsidRPr="000F2824" w:rsidRDefault="000F2824" w:rsidP="000F2824">
      <w:pPr>
        <w:rPr>
          <w:rFonts w:ascii="Times New Roman" w:hAnsi="Times New Roman"/>
          <w:lang w:val="en-GB"/>
        </w:rPr>
      </w:pPr>
      <w:r w:rsidRPr="000F2824">
        <w:rPr>
          <w:rFonts w:ascii="Times New Roman" w:hAnsi="Times New Roman"/>
          <w:lang w:val="en-GB"/>
        </w:rPr>
        <w:t>The</w:t>
      </w:r>
      <w:r>
        <w:rPr>
          <w:rFonts w:ascii="Times New Roman" w:hAnsi="Times New Roman"/>
          <w:lang w:val="en-GB"/>
        </w:rPr>
        <w:t>se</w:t>
      </w:r>
      <w:r w:rsidRPr="000F2824">
        <w:rPr>
          <w:rFonts w:ascii="Times New Roman" w:hAnsi="Times New Roman"/>
          <w:lang w:val="en-GB"/>
        </w:rPr>
        <w:t xml:space="preserve"> Guidance Notes have been prepared in relation with the Individual Power Purchase Agreement</w:t>
      </w:r>
      <w:r>
        <w:rPr>
          <w:rFonts w:ascii="Times New Roman" w:hAnsi="Times New Roman"/>
          <w:lang w:val="en-GB"/>
        </w:rPr>
        <w:t xml:space="preserve"> </w:t>
      </w:r>
      <w:r w:rsidRPr="000F2824">
        <w:rPr>
          <w:rFonts w:ascii="Times New Roman" w:hAnsi="Times New Roman"/>
          <w:lang w:val="en-GB"/>
        </w:rPr>
        <w:t xml:space="preserve">for Corporates and Utilities (hereafter referred to as “PPA”), issued by EFET on 26 June 2019. The </w:t>
      </w:r>
      <w:r>
        <w:rPr>
          <w:rFonts w:ascii="Times New Roman" w:hAnsi="Times New Roman"/>
          <w:lang w:val="en-GB"/>
        </w:rPr>
        <w:t xml:space="preserve">Spanish </w:t>
      </w:r>
      <w:r w:rsidRPr="000F2824">
        <w:rPr>
          <w:rFonts w:ascii="Times New Roman" w:hAnsi="Times New Roman"/>
          <w:lang w:val="en-GB"/>
        </w:rPr>
        <w:t>Guidance Notes are designed to inform users of the PPA about issues relating to:</w:t>
      </w:r>
    </w:p>
    <w:p w14:paraId="0B3660B0" w14:textId="75782946" w:rsidR="0017341A" w:rsidRPr="000F2824" w:rsidRDefault="000F2824" w:rsidP="0017341A">
      <w:pPr>
        <w:pStyle w:val="Prrafodelista1"/>
        <w:numPr>
          <w:ilvl w:val="0"/>
          <w:numId w:val="5"/>
        </w:numPr>
        <w:rPr>
          <w:color w:val="auto"/>
          <w:sz w:val="20"/>
          <w:szCs w:val="20"/>
          <w:lang w:val="en-GB"/>
        </w:rPr>
      </w:pPr>
      <w:r w:rsidRPr="000F2824">
        <w:rPr>
          <w:color w:val="auto"/>
          <w:sz w:val="20"/>
          <w:szCs w:val="20"/>
          <w:lang w:val="en-GB"/>
        </w:rPr>
        <w:t>The</w:t>
      </w:r>
      <w:r>
        <w:rPr>
          <w:color w:val="auto"/>
          <w:sz w:val="20"/>
          <w:szCs w:val="20"/>
          <w:lang w:val="en-GB"/>
        </w:rPr>
        <w:t>ir</w:t>
      </w:r>
      <w:r w:rsidRPr="000F2824">
        <w:rPr>
          <w:color w:val="auto"/>
          <w:sz w:val="20"/>
          <w:szCs w:val="20"/>
          <w:lang w:val="en-GB"/>
        </w:rPr>
        <w:t xml:space="preserve"> choice </w:t>
      </w:r>
      <w:r>
        <w:rPr>
          <w:color w:val="auto"/>
          <w:sz w:val="20"/>
          <w:szCs w:val="20"/>
          <w:lang w:val="en-GB"/>
        </w:rPr>
        <w:t xml:space="preserve">of </w:t>
      </w:r>
      <w:r w:rsidR="0017341A" w:rsidRPr="000F2824">
        <w:rPr>
          <w:color w:val="auto"/>
          <w:sz w:val="20"/>
          <w:szCs w:val="20"/>
          <w:lang w:val="en-GB"/>
        </w:rPr>
        <w:t xml:space="preserve">Spanish law </w:t>
      </w:r>
      <w:r>
        <w:rPr>
          <w:color w:val="auto"/>
          <w:sz w:val="20"/>
          <w:szCs w:val="20"/>
          <w:lang w:val="en-GB"/>
        </w:rPr>
        <w:t xml:space="preserve">to </w:t>
      </w:r>
      <w:r w:rsidRPr="000F2824">
        <w:rPr>
          <w:color w:val="auto"/>
          <w:sz w:val="20"/>
          <w:szCs w:val="20"/>
          <w:lang w:val="en-GB"/>
        </w:rPr>
        <w:t>gover</w:t>
      </w:r>
      <w:r w:rsidR="004F5494">
        <w:rPr>
          <w:color w:val="auto"/>
          <w:sz w:val="20"/>
          <w:szCs w:val="20"/>
          <w:lang w:val="en-GB"/>
        </w:rPr>
        <w:t>n</w:t>
      </w:r>
      <w:r w:rsidRPr="000F2824">
        <w:rPr>
          <w:color w:val="auto"/>
          <w:sz w:val="20"/>
          <w:szCs w:val="20"/>
          <w:lang w:val="en-GB"/>
        </w:rPr>
        <w:t xml:space="preserve"> the </w:t>
      </w:r>
      <w:proofErr w:type="spellStart"/>
      <w:r w:rsidRPr="000F2824">
        <w:rPr>
          <w:color w:val="auto"/>
          <w:sz w:val="20"/>
          <w:szCs w:val="20"/>
          <w:lang w:val="en-GB"/>
        </w:rPr>
        <w:t>PPA</w:t>
      </w:r>
      <w:proofErr w:type="spellEnd"/>
      <w:r w:rsidRPr="000F2824">
        <w:rPr>
          <w:color w:val="auto"/>
          <w:sz w:val="20"/>
          <w:szCs w:val="20"/>
          <w:lang w:val="en-GB"/>
        </w:rPr>
        <w:t>;</w:t>
      </w:r>
    </w:p>
    <w:p w14:paraId="4027E614" w14:textId="7F2CF1EF" w:rsidR="0017341A" w:rsidRPr="000F2824" w:rsidRDefault="0017341A" w:rsidP="0017341A">
      <w:pPr>
        <w:pStyle w:val="Prrafodelista1"/>
        <w:numPr>
          <w:ilvl w:val="0"/>
          <w:numId w:val="5"/>
        </w:numPr>
        <w:rPr>
          <w:color w:val="auto"/>
          <w:sz w:val="20"/>
          <w:szCs w:val="20"/>
          <w:lang w:val="en-GB"/>
        </w:rPr>
      </w:pPr>
      <w:r w:rsidRPr="000F2824">
        <w:rPr>
          <w:color w:val="auto"/>
          <w:sz w:val="20"/>
          <w:szCs w:val="20"/>
          <w:lang w:val="en-GB"/>
        </w:rPr>
        <w:t xml:space="preserve">Spanish entities are party to </w:t>
      </w:r>
      <w:r w:rsidR="000F2824" w:rsidRPr="000F2824">
        <w:rPr>
          <w:color w:val="auto"/>
          <w:sz w:val="20"/>
          <w:szCs w:val="20"/>
          <w:lang w:val="en-GB"/>
        </w:rPr>
        <w:t>the PPA;</w:t>
      </w:r>
    </w:p>
    <w:p w14:paraId="55B25233" w14:textId="77777777" w:rsidR="0017341A" w:rsidRPr="000F2824" w:rsidRDefault="0017341A" w:rsidP="0017341A">
      <w:pPr>
        <w:pStyle w:val="Prrafodelista1"/>
        <w:numPr>
          <w:ilvl w:val="0"/>
          <w:numId w:val="5"/>
        </w:numPr>
        <w:rPr>
          <w:color w:val="auto"/>
          <w:sz w:val="20"/>
          <w:szCs w:val="20"/>
          <w:lang w:val="en-GB"/>
        </w:rPr>
      </w:pPr>
      <w:r w:rsidRPr="000F2824">
        <w:rPr>
          <w:color w:val="auto"/>
          <w:sz w:val="20"/>
          <w:szCs w:val="20"/>
          <w:lang w:val="en-GB"/>
        </w:rPr>
        <w:t xml:space="preserve">Spanish electricity is the underlying, </w:t>
      </w:r>
    </w:p>
    <w:p w14:paraId="35084C90" w14:textId="2CB4D54A" w:rsidR="0017341A" w:rsidRDefault="0017341A" w:rsidP="0017341A">
      <w:pPr>
        <w:rPr>
          <w:rFonts w:ascii="Times New Roman" w:hAnsi="Times New Roman"/>
          <w:lang w:val="en-GB"/>
        </w:rPr>
      </w:pPr>
      <w:r w:rsidRPr="000F2824">
        <w:rPr>
          <w:rFonts w:ascii="Times New Roman" w:hAnsi="Times New Roman"/>
          <w:lang w:val="en-GB"/>
        </w:rPr>
        <w:t xml:space="preserve">and more general </w:t>
      </w:r>
      <w:r w:rsidR="000F2824">
        <w:rPr>
          <w:rFonts w:ascii="Times New Roman" w:hAnsi="Times New Roman"/>
          <w:lang w:val="en-GB"/>
        </w:rPr>
        <w:t xml:space="preserve">on issues </w:t>
      </w:r>
      <w:r w:rsidRPr="000F2824">
        <w:rPr>
          <w:rFonts w:ascii="Times New Roman" w:hAnsi="Times New Roman"/>
          <w:lang w:val="en-GB"/>
        </w:rPr>
        <w:t>from a Spanish market perspective.</w:t>
      </w:r>
    </w:p>
    <w:p w14:paraId="05DE7A52" w14:textId="77777777" w:rsidR="000F2824" w:rsidRDefault="000F2824" w:rsidP="0017341A">
      <w:pPr>
        <w:rPr>
          <w:rFonts w:ascii="Times New Roman" w:hAnsi="Times New Roman"/>
          <w:lang w:val="en-GB"/>
        </w:rPr>
      </w:pPr>
    </w:p>
    <w:p w14:paraId="1A6E0895" w14:textId="465103E8" w:rsidR="0017341A" w:rsidRDefault="000F2824" w:rsidP="000F2824">
      <w:pPr>
        <w:jc w:val="both"/>
        <w:rPr>
          <w:rFonts w:ascii="Times New Roman" w:hAnsi="Times New Roman"/>
          <w:lang w:val="en-GB"/>
        </w:rPr>
      </w:pPr>
      <w:r>
        <w:rPr>
          <w:rFonts w:ascii="Times New Roman" w:hAnsi="Times New Roman"/>
          <w:lang w:val="en-GB"/>
        </w:rPr>
        <w:t>C</w:t>
      </w:r>
      <w:r w:rsidR="0017341A" w:rsidRPr="000F2824">
        <w:rPr>
          <w:rFonts w:ascii="Times New Roman" w:hAnsi="Times New Roman"/>
          <w:lang w:val="en-GB"/>
        </w:rPr>
        <w:t xml:space="preserve">omments </w:t>
      </w:r>
      <w:r>
        <w:rPr>
          <w:rFonts w:ascii="Times New Roman" w:hAnsi="Times New Roman"/>
          <w:lang w:val="en-GB"/>
        </w:rPr>
        <w:t xml:space="preserve">are provided </w:t>
      </w:r>
      <w:r w:rsidR="0017341A" w:rsidRPr="000F2824">
        <w:rPr>
          <w:rFonts w:ascii="Times New Roman" w:hAnsi="Times New Roman"/>
          <w:lang w:val="en-GB"/>
        </w:rPr>
        <w:t xml:space="preserve">in the table below. They may be addressed in an </w:t>
      </w:r>
      <w:r w:rsidR="0017341A" w:rsidRPr="000F2824">
        <w:rPr>
          <w:rFonts w:ascii="Times New Roman" w:hAnsi="Times New Roman"/>
          <w:i/>
          <w:lang w:val="en-GB"/>
        </w:rPr>
        <w:t>ad hoc</w:t>
      </w:r>
      <w:r w:rsidR="0017341A" w:rsidRPr="000F2824">
        <w:rPr>
          <w:rFonts w:ascii="Times New Roman" w:hAnsi="Times New Roman"/>
          <w:lang w:val="en-GB"/>
        </w:rPr>
        <w:t xml:space="preserve"> appendix or in the Election Sheet (in the Section specified as per the table). Our analysis has not included a review of tax provisions under a Spanish tax law perspective.</w:t>
      </w:r>
    </w:p>
    <w:p w14:paraId="2D0FA935" w14:textId="4E8D70C3" w:rsidR="00542BFF" w:rsidRDefault="00542BFF" w:rsidP="000F2824">
      <w:pPr>
        <w:jc w:val="both"/>
        <w:rPr>
          <w:rFonts w:ascii="Times New Roman" w:hAnsi="Times New Roman"/>
          <w:lang w:val="en-GB"/>
        </w:rPr>
      </w:pPr>
      <w:r>
        <w:rPr>
          <w:rFonts w:ascii="Times New Roman" w:hAnsi="Times New Roman"/>
          <w:lang w:val="en-GB"/>
        </w:rPr>
        <w:br w:type="page"/>
      </w:r>
    </w:p>
    <w:p w14:paraId="232BB771" w14:textId="77777777" w:rsidR="000F2824" w:rsidRPr="000F2824" w:rsidRDefault="000F2824" w:rsidP="000F2824">
      <w:pPr>
        <w:jc w:val="both"/>
        <w:rPr>
          <w:rFonts w:ascii="Times New Roman" w:hAnsi="Times New Roman"/>
          <w:lang w:val="en-GB"/>
        </w:rPr>
      </w:pPr>
    </w:p>
    <w:tbl>
      <w:tblPr>
        <w:tblW w:w="8330" w:type="dxa"/>
        <w:tblCellMar>
          <w:left w:w="10" w:type="dxa"/>
          <w:right w:w="10" w:type="dxa"/>
        </w:tblCellMar>
        <w:tblLook w:val="04A0" w:firstRow="1" w:lastRow="0" w:firstColumn="1" w:lastColumn="0" w:noHBand="0" w:noVBand="1"/>
      </w:tblPr>
      <w:tblGrid>
        <w:gridCol w:w="2943"/>
        <w:gridCol w:w="5387"/>
      </w:tblGrid>
      <w:tr w:rsidR="0017341A" w:rsidRPr="000F2824" w14:paraId="3F24521B" w14:textId="77777777" w:rsidTr="00805B54">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4BEE8F" w14:textId="77777777" w:rsidR="0017341A" w:rsidRPr="000F2824" w:rsidRDefault="0017341A" w:rsidP="000F2824">
            <w:pPr>
              <w:ind w:left="142" w:right="-643"/>
              <w:jc w:val="both"/>
              <w:rPr>
                <w:rFonts w:ascii="Times New Roman" w:hAnsi="Times New Roman"/>
                <w:b/>
                <w:lang w:val="en-GB"/>
              </w:rPr>
            </w:pPr>
            <w:r w:rsidRPr="000F2824">
              <w:rPr>
                <w:rFonts w:ascii="Times New Roman" w:hAnsi="Times New Roman"/>
                <w:b/>
                <w:lang w:val="en-GB"/>
              </w:rPr>
              <w:t>Reference</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BA0CB" w14:textId="7095309F" w:rsidR="0017341A" w:rsidRPr="000F2824" w:rsidRDefault="0017341A" w:rsidP="000F2824">
            <w:pPr>
              <w:ind w:left="2"/>
              <w:jc w:val="both"/>
              <w:rPr>
                <w:rFonts w:ascii="Times New Roman" w:hAnsi="Times New Roman"/>
                <w:b/>
                <w:lang w:val="en-GB"/>
              </w:rPr>
            </w:pPr>
            <w:r w:rsidRPr="000F2824">
              <w:rPr>
                <w:rFonts w:ascii="Times New Roman" w:hAnsi="Times New Roman"/>
                <w:b/>
                <w:lang w:val="en-GB"/>
              </w:rPr>
              <w:t>Comment</w:t>
            </w:r>
          </w:p>
        </w:tc>
      </w:tr>
      <w:tr w:rsidR="0017341A" w:rsidRPr="000F2824" w14:paraId="01CE8214" w14:textId="77777777" w:rsidTr="00805B54">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9EC9" w14:textId="77777777" w:rsidR="0017341A" w:rsidRPr="000F2824" w:rsidRDefault="0017341A" w:rsidP="000F2824">
            <w:pPr>
              <w:ind w:left="2" w:right="-643"/>
              <w:jc w:val="both"/>
              <w:rPr>
                <w:rFonts w:ascii="Times New Roman" w:hAnsi="Times New Roman"/>
                <w:lang w:val="en-GB"/>
              </w:rPr>
            </w:pPr>
            <w:r w:rsidRPr="000F2824">
              <w:rPr>
                <w:rStyle w:val="Fuentedeprrafopredeter1"/>
                <w:rFonts w:ascii="Times New Roman" w:hAnsi="Times New Roman"/>
                <w:b/>
                <w:lang w:val="en-GB"/>
              </w:rPr>
              <w:t>PART I (Individual Terms</w:t>
            </w:r>
            <w:r w:rsidRPr="000F2824">
              <w:rPr>
                <w:rStyle w:val="Fuentedeprrafopredeter1"/>
                <w:rFonts w:ascii="Times New Roman" w:hAnsi="Times New Roman"/>
                <w:lang w:val="en-GB"/>
              </w:rPr>
              <w:t>)</w:t>
            </w:r>
          </w:p>
        </w:tc>
      </w:tr>
      <w:tr w:rsidR="0017341A" w:rsidRPr="000F2824" w14:paraId="2452BC18" w14:textId="77777777" w:rsidTr="00805B54">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F2E2" w14:textId="77777777" w:rsidR="0017341A" w:rsidRPr="000F2824" w:rsidRDefault="0017341A" w:rsidP="000F2824">
            <w:pPr>
              <w:ind w:left="2" w:right="-643"/>
              <w:jc w:val="both"/>
              <w:rPr>
                <w:rFonts w:ascii="Times New Roman" w:hAnsi="Times New Roman"/>
                <w:b/>
                <w:lang w:val="en-GB"/>
              </w:rPr>
            </w:pPr>
            <w:r w:rsidRPr="000F2824">
              <w:rPr>
                <w:rFonts w:ascii="Times New Roman" w:hAnsi="Times New Roman"/>
                <w:b/>
                <w:lang w:val="en-GB"/>
              </w:rPr>
              <w:t>Section A: Commercial Provisions</w:t>
            </w:r>
          </w:p>
        </w:tc>
      </w:tr>
      <w:tr w:rsidR="0017341A" w:rsidRPr="000F2824" w14:paraId="1D6C0082"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6B618" w14:textId="77777777" w:rsidR="0017341A" w:rsidRPr="000F2824" w:rsidRDefault="0017341A" w:rsidP="000F2824">
            <w:pPr>
              <w:ind w:left="142" w:right="-643"/>
              <w:jc w:val="both"/>
              <w:rPr>
                <w:rFonts w:ascii="Times New Roman" w:hAnsi="Times New Roman"/>
                <w:lang w:val="en-GB"/>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4743C" w14:textId="77777777" w:rsidR="0017341A" w:rsidRPr="000F2824" w:rsidRDefault="0017341A" w:rsidP="000F2824">
            <w:pPr>
              <w:ind w:left="2"/>
              <w:jc w:val="both"/>
              <w:rPr>
                <w:rFonts w:ascii="Times New Roman" w:hAnsi="Times New Roman"/>
                <w:lang w:val="en-GB"/>
              </w:rPr>
            </w:pPr>
          </w:p>
        </w:tc>
      </w:tr>
      <w:tr w:rsidR="0017341A" w:rsidRPr="000F2824" w14:paraId="547202C1"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457B" w14:textId="77777777" w:rsidR="0017341A" w:rsidRPr="000F2824" w:rsidRDefault="0017341A" w:rsidP="000F2824">
            <w:pPr>
              <w:ind w:left="142" w:right="-643"/>
              <w:jc w:val="both"/>
              <w:rPr>
                <w:rFonts w:ascii="Times New Roman" w:hAnsi="Times New Roman"/>
                <w:lang w:val="en-GB"/>
              </w:rPr>
            </w:pPr>
            <w:r w:rsidRPr="000F2824">
              <w:rPr>
                <w:rFonts w:ascii="Times New Roman" w:hAnsi="Times New Roman"/>
                <w:lang w:val="en-GB"/>
              </w:rPr>
              <w:t xml:space="preserve">2.1 Contract Quantity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259C0"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It is frequent in the Spanish market practice that Parties selecting physical delivery wish to expand the definition of “Metered Output” to make clear that the Metered Output will be the volumes nominated day-ahead in the declaration of bilateral physical contracts to the Market Operator (</w:t>
            </w:r>
            <w:r w:rsidRPr="000F2824">
              <w:rPr>
                <w:rFonts w:ascii="Times New Roman" w:hAnsi="Times New Roman"/>
                <w:i/>
                <w:lang w:val="en-GB"/>
              </w:rPr>
              <w:t>Operador del Mercado Ibérico de Electricidad (OMIE)</w:t>
            </w:r>
            <w:r w:rsidRPr="000F2824">
              <w:rPr>
                <w:rFonts w:ascii="Times New Roman" w:hAnsi="Times New Roman"/>
                <w:lang w:val="en-GB"/>
              </w:rPr>
              <w:t>).</w:t>
            </w:r>
          </w:p>
          <w:p w14:paraId="2799DAF7"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Parties may do so by including said clarification in Section C.</w:t>
            </w:r>
          </w:p>
        </w:tc>
      </w:tr>
      <w:tr w:rsidR="0017341A" w:rsidRPr="000F2824" w14:paraId="01A3E068"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9BD4" w14:textId="77777777" w:rsidR="0017341A" w:rsidRPr="000F2824" w:rsidRDefault="0017341A" w:rsidP="000F2824">
            <w:pPr>
              <w:ind w:left="142"/>
              <w:jc w:val="both"/>
              <w:rPr>
                <w:rFonts w:ascii="Times New Roman" w:hAnsi="Times New Roman"/>
                <w:lang w:val="en-GB"/>
              </w:rPr>
            </w:pPr>
            <w:r w:rsidRPr="000F2824">
              <w:rPr>
                <w:rFonts w:ascii="Times New Roman" w:hAnsi="Times New Roman"/>
                <w:lang w:val="en-GB"/>
              </w:rPr>
              <w:t>3.3(b) EECS Certificates – Additional Requirements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6D534"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Additional Requirements may need to be stated to distinguish whether the EECS Certificates must be eligible for “Export” in accordance with applicable law.</w:t>
            </w:r>
          </w:p>
          <w:p w14:paraId="11EE06C8" w14:textId="30675445" w:rsidR="0017341A" w:rsidRDefault="0017341A" w:rsidP="000F2824">
            <w:pPr>
              <w:ind w:left="2"/>
              <w:jc w:val="both"/>
              <w:rPr>
                <w:rFonts w:ascii="Times New Roman" w:hAnsi="Times New Roman"/>
                <w:lang w:val="en-GB"/>
              </w:rPr>
            </w:pPr>
            <w:r w:rsidRPr="000F2824">
              <w:rPr>
                <w:rFonts w:ascii="Times New Roman" w:hAnsi="Times New Roman"/>
                <w:lang w:val="en-GB"/>
              </w:rPr>
              <w:t>Parties may do so by including in point 3.3(b) of Section A wording addressing the following points:</w:t>
            </w:r>
          </w:p>
          <w:p w14:paraId="0718B37C" w14:textId="77777777" w:rsidR="000F2824" w:rsidRPr="000F2824" w:rsidRDefault="000F2824" w:rsidP="000F2824">
            <w:pPr>
              <w:ind w:left="2"/>
              <w:jc w:val="both"/>
              <w:rPr>
                <w:rFonts w:ascii="Times New Roman" w:hAnsi="Times New Roman"/>
                <w:lang w:val="en-GB"/>
              </w:rPr>
            </w:pPr>
          </w:p>
          <w:p w14:paraId="7386E6CB"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  that </w:t>
            </w:r>
            <w:r w:rsidRPr="000F2824">
              <w:rPr>
                <w:rFonts w:ascii="Times New Roman" w:hAnsi="Times New Roman"/>
                <w:i/>
                <w:lang w:val="en-GB"/>
              </w:rPr>
              <w:t>“the Seller shall ensure that EECS Certificates are eligible for “export” in accordance with applicable law [N.B. the concept of “applicable law” to include all Spanish Law referred to in paragraph 10 (Certificates) below] and industry documents (including the EECS Domain Protocol for Spain published and maintained by the National Markets and Antitrust Commission (Comisión Nacional de los Mercados y de la Competencia (CNMC))”</w:t>
            </w:r>
            <w:r w:rsidRPr="000F2824">
              <w:rPr>
                <w:rFonts w:ascii="Times New Roman" w:hAnsi="Times New Roman"/>
                <w:lang w:val="en-GB"/>
              </w:rPr>
              <w:t>; and</w:t>
            </w:r>
          </w:p>
          <w:p w14:paraId="1950E62C" w14:textId="41E5670A"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that</w:t>
            </w:r>
            <w:r w:rsidRPr="000F2824">
              <w:rPr>
                <w:rFonts w:ascii="Times New Roman" w:hAnsi="Times New Roman"/>
                <w:i/>
                <w:lang w:val="en-GB"/>
              </w:rPr>
              <w:t xml:space="preserve"> “the Seller shall waive any domestic subsidy or support schemes in respect of the facility and/or the production in order to ensure that all EECS Certificates are and remain eligible for “export””</w:t>
            </w:r>
            <w:r w:rsidRPr="000F2824">
              <w:rPr>
                <w:rFonts w:ascii="Times New Roman" w:hAnsi="Times New Roman"/>
                <w:lang w:val="en-GB"/>
              </w:rPr>
              <w:t>.</w:t>
            </w:r>
          </w:p>
          <w:p w14:paraId="4F9AD32A"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EECS Domain Protocol for Spain and all relevant Spanish law can be found at: https://gdo.cnmc.es/CNE/accesoInformacionGeneral.do</w:t>
            </w:r>
          </w:p>
        </w:tc>
      </w:tr>
      <w:tr w:rsidR="0017341A" w:rsidRPr="000F2824" w14:paraId="6620E1F4"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A9B6"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t>4. General Provisions &amp; Facility - “Balancing Responsible Party”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F59E1" w14:textId="4CE9E36C"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The provision will need to be adapted so that it includes the appointment by the Seller of a market representation agent (which may also be the Balancing Responsible Party – if providing imbalance management services) and for the circumstances where the Market Representation Agent (and Balancing Responsible Party) is replaced.</w:t>
            </w:r>
          </w:p>
          <w:p w14:paraId="74DC4DB4" w14:textId="77777777" w:rsidR="000F2824" w:rsidRDefault="000F2824" w:rsidP="000F2824">
            <w:pPr>
              <w:ind w:left="2"/>
              <w:jc w:val="both"/>
              <w:rPr>
                <w:rFonts w:ascii="Times New Roman" w:hAnsi="Times New Roman"/>
                <w:lang w:val="en-GB"/>
              </w:rPr>
            </w:pPr>
          </w:p>
          <w:p w14:paraId="3837B28A" w14:textId="429DF5D1" w:rsidR="0017341A" w:rsidRDefault="0017341A" w:rsidP="000F2824">
            <w:pPr>
              <w:ind w:left="2"/>
              <w:jc w:val="both"/>
              <w:rPr>
                <w:rFonts w:ascii="Times New Roman" w:hAnsi="Times New Roman"/>
                <w:lang w:val="en-GB"/>
              </w:rPr>
            </w:pPr>
            <w:r w:rsidRPr="000F2824">
              <w:rPr>
                <w:rFonts w:ascii="Times New Roman" w:hAnsi="Times New Roman"/>
                <w:lang w:val="en-GB"/>
              </w:rPr>
              <w:t xml:space="preserve">Parties may appoint a </w:t>
            </w:r>
            <w:r w:rsidR="000F2824">
              <w:rPr>
                <w:rFonts w:ascii="Times New Roman" w:hAnsi="Times New Roman"/>
                <w:lang w:val="en-GB"/>
              </w:rPr>
              <w:t>M</w:t>
            </w:r>
            <w:r w:rsidRPr="000F2824">
              <w:rPr>
                <w:rFonts w:ascii="Times New Roman" w:hAnsi="Times New Roman"/>
                <w:lang w:val="en-GB"/>
              </w:rPr>
              <w:t xml:space="preserve">arket </w:t>
            </w:r>
            <w:r w:rsidR="000F2824">
              <w:rPr>
                <w:rFonts w:ascii="Times New Roman" w:hAnsi="Times New Roman"/>
                <w:lang w:val="en-GB"/>
              </w:rPr>
              <w:t>R</w:t>
            </w:r>
            <w:r w:rsidRPr="000F2824">
              <w:rPr>
                <w:rFonts w:ascii="Times New Roman" w:hAnsi="Times New Roman"/>
                <w:lang w:val="en-GB"/>
              </w:rPr>
              <w:t xml:space="preserve">epresentation </w:t>
            </w:r>
            <w:r w:rsidR="000F2824">
              <w:rPr>
                <w:rFonts w:ascii="Times New Roman" w:hAnsi="Times New Roman"/>
                <w:lang w:val="en-GB"/>
              </w:rPr>
              <w:t>A</w:t>
            </w:r>
            <w:r w:rsidRPr="000F2824">
              <w:rPr>
                <w:rFonts w:ascii="Times New Roman" w:hAnsi="Times New Roman"/>
                <w:lang w:val="en-GB"/>
              </w:rPr>
              <w:t>gent, which may be also the Balancing Responsible Party, by including in Section C wording addressing the following points:</w:t>
            </w:r>
          </w:p>
          <w:p w14:paraId="40EC1D7B" w14:textId="77777777" w:rsidR="000F2824" w:rsidRPr="000F2824" w:rsidRDefault="000F2824" w:rsidP="000F2824">
            <w:pPr>
              <w:ind w:left="2"/>
              <w:jc w:val="both"/>
              <w:rPr>
                <w:rFonts w:ascii="Times New Roman" w:hAnsi="Times New Roman"/>
                <w:lang w:val="en-GB"/>
              </w:rPr>
            </w:pPr>
          </w:p>
          <w:p w14:paraId="4BC93741" w14:textId="77777777" w:rsidR="0017341A" w:rsidRPr="000F2824" w:rsidRDefault="0017341A" w:rsidP="000F2824">
            <w:pPr>
              <w:ind w:left="2"/>
              <w:jc w:val="both"/>
              <w:rPr>
                <w:rFonts w:ascii="Times New Roman" w:hAnsi="Times New Roman"/>
                <w:i/>
                <w:lang w:val="en-GB"/>
              </w:rPr>
            </w:pPr>
            <w:r w:rsidRPr="000F2824">
              <w:rPr>
                <w:rFonts w:ascii="Times New Roman" w:hAnsi="Times New Roman"/>
                <w:i/>
                <w:lang w:val="en-GB"/>
              </w:rPr>
              <w:t xml:space="preserve">- that “the Seller has appointed […] as Market Representation Agent, [and that said Market Representation Agent will be also the Balancing Responsible Party]”; </w:t>
            </w:r>
          </w:p>
          <w:p w14:paraId="015995FA" w14:textId="77777777" w:rsidR="0017341A" w:rsidRPr="000F2824" w:rsidRDefault="0017341A" w:rsidP="000F2824">
            <w:pPr>
              <w:ind w:left="2"/>
              <w:jc w:val="both"/>
              <w:rPr>
                <w:rFonts w:ascii="Times New Roman" w:hAnsi="Times New Roman"/>
                <w:i/>
                <w:lang w:val="en-GB"/>
              </w:rPr>
            </w:pPr>
            <w:r w:rsidRPr="000F2824">
              <w:rPr>
                <w:rFonts w:ascii="Times New Roman" w:hAnsi="Times New Roman"/>
                <w:i/>
                <w:lang w:val="en-GB"/>
              </w:rPr>
              <w:t>- that “the Seller and the Market Representation Agent have entered, or will enter, into a Market Representation and Services Agreement for the sale and purchase of electricity by the Market Representation Agent on behalf of the Seller as its duly authorised market representative to and from the Market Operator in the intraday electricity market for the sole purpose of and to the extent necessary to adjust for any deviations between nominations and actual production”; and</w:t>
            </w:r>
          </w:p>
          <w:p w14:paraId="64DB57BB" w14:textId="3D33C742" w:rsidR="0017341A" w:rsidRDefault="0017341A" w:rsidP="000F2824">
            <w:pPr>
              <w:ind w:left="2"/>
              <w:jc w:val="both"/>
              <w:rPr>
                <w:rFonts w:ascii="Times New Roman" w:hAnsi="Times New Roman"/>
                <w:i/>
                <w:lang w:val="en-GB"/>
              </w:rPr>
            </w:pPr>
            <w:r w:rsidRPr="000F2824">
              <w:rPr>
                <w:rFonts w:ascii="Times New Roman" w:hAnsi="Times New Roman"/>
                <w:i/>
                <w:lang w:val="en-GB"/>
              </w:rPr>
              <w:t xml:space="preserve">- that “the Market Representation Agent will be replaced in the following scenarios: [e.g., loss of capacity to provide market representation services in the Spanish electricity wholesale </w:t>
            </w:r>
            <w:proofErr w:type="gramStart"/>
            <w:r w:rsidRPr="000F2824">
              <w:rPr>
                <w:rFonts w:ascii="Times New Roman" w:hAnsi="Times New Roman"/>
                <w:i/>
                <w:lang w:val="en-GB"/>
              </w:rPr>
              <w:t>market ]</w:t>
            </w:r>
            <w:proofErr w:type="gramEnd"/>
            <w:r w:rsidRPr="000F2824">
              <w:rPr>
                <w:rFonts w:ascii="Times New Roman" w:hAnsi="Times New Roman"/>
                <w:i/>
                <w:lang w:val="en-GB"/>
              </w:rPr>
              <w:t>”.</w:t>
            </w:r>
          </w:p>
          <w:p w14:paraId="06700513" w14:textId="77777777" w:rsidR="000F2824" w:rsidRPr="000F2824" w:rsidRDefault="000F2824" w:rsidP="000F2824">
            <w:pPr>
              <w:ind w:left="2"/>
              <w:jc w:val="both"/>
              <w:rPr>
                <w:rFonts w:ascii="Times New Roman" w:hAnsi="Times New Roman"/>
                <w:i/>
                <w:lang w:val="en-GB"/>
              </w:rPr>
            </w:pPr>
          </w:p>
          <w:p w14:paraId="4DC19ED0" w14:textId="127F5211" w:rsidR="0017341A" w:rsidRDefault="0017341A" w:rsidP="000F2824">
            <w:pPr>
              <w:ind w:left="2"/>
              <w:jc w:val="both"/>
              <w:rPr>
                <w:rFonts w:ascii="Times New Roman" w:hAnsi="Times New Roman"/>
                <w:i/>
                <w:lang w:val="en-GB"/>
              </w:rPr>
            </w:pPr>
            <w:r w:rsidRPr="000F2824">
              <w:rPr>
                <w:rFonts w:ascii="Times New Roman" w:hAnsi="Times New Roman"/>
                <w:i/>
                <w:lang w:val="en-GB"/>
              </w:rPr>
              <w:lastRenderedPageBreak/>
              <w:t>“</w:t>
            </w:r>
            <w:r w:rsidRPr="000F2824">
              <w:rPr>
                <w:rFonts w:ascii="Times New Roman" w:hAnsi="Times New Roman"/>
                <w:b/>
                <w:i/>
                <w:lang w:val="en-GB"/>
              </w:rPr>
              <w:t>Market Representation Services Agreement</w:t>
            </w:r>
            <w:r w:rsidRPr="000F2824">
              <w:rPr>
                <w:rFonts w:ascii="Times New Roman" w:hAnsi="Times New Roman"/>
                <w:i/>
                <w:lang w:val="en-GB"/>
              </w:rPr>
              <w:t>” means the market representation services agreement entered into or to be entered into between the Seller and the Market Representation Agent on or around the date of this Agreement for the provision of market representation services in the Spanish electricity wholesale market.</w:t>
            </w:r>
          </w:p>
          <w:p w14:paraId="397C1770" w14:textId="77777777" w:rsidR="000F2824" w:rsidRPr="000F2824" w:rsidRDefault="000F2824" w:rsidP="000F2824">
            <w:pPr>
              <w:ind w:left="2"/>
              <w:jc w:val="both"/>
              <w:rPr>
                <w:rFonts w:ascii="Times New Roman" w:hAnsi="Times New Roman"/>
                <w:i/>
                <w:lang w:val="en-GB"/>
              </w:rPr>
            </w:pPr>
          </w:p>
          <w:p w14:paraId="17F67CDD" w14:textId="77777777" w:rsidR="0017341A" w:rsidRPr="000F2824" w:rsidRDefault="0017341A" w:rsidP="000F2824">
            <w:pPr>
              <w:ind w:left="2"/>
              <w:jc w:val="both"/>
              <w:rPr>
                <w:rFonts w:ascii="Times New Roman" w:hAnsi="Times New Roman"/>
                <w:i/>
                <w:lang w:val="en-GB"/>
              </w:rPr>
            </w:pPr>
            <w:r w:rsidRPr="000F2824">
              <w:rPr>
                <w:rFonts w:ascii="Times New Roman" w:hAnsi="Times New Roman"/>
                <w:i/>
                <w:lang w:val="en-GB"/>
              </w:rPr>
              <w:t>“</w:t>
            </w:r>
            <w:r w:rsidRPr="000F2824">
              <w:rPr>
                <w:rFonts w:ascii="Times New Roman" w:hAnsi="Times New Roman"/>
                <w:b/>
                <w:i/>
                <w:lang w:val="en-GB"/>
              </w:rPr>
              <w:t>Market Representation Agent</w:t>
            </w:r>
            <w:r w:rsidRPr="000F2824">
              <w:rPr>
                <w:rFonts w:ascii="Times New Roman" w:hAnsi="Times New Roman"/>
                <w:i/>
                <w:lang w:val="en-GB"/>
              </w:rPr>
              <w:t>” means […] or any replacement market representation agent appointed by the Seller.</w:t>
            </w:r>
          </w:p>
        </w:tc>
      </w:tr>
      <w:tr w:rsidR="0017341A" w:rsidRPr="000F2824" w14:paraId="208D194B"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94C46" w14:textId="77777777" w:rsidR="0017341A" w:rsidRPr="000F2824" w:rsidRDefault="0017341A" w:rsidP="000F2824">
            <w:pPr>
              <w:ind w:left="142" w:right="30"/>
              <w:jc w:val="both"/>
              <w:rPr>
                <w:rFonts w:ascii="Times New Roman" w:hAnsi="Times New Roman"/>
                <w:lang w:val="en-GB"/>
              </w:rPr>
            </w:pPr>
            <w:r w:rsidRPr="000F2824">
              <w:rPr>
                <w:rFonts w:ascii="Times New Roman" w:hAnsi="Times New Roman"/>
                <w:lang w:val="en-GB"/>
              </w:rPr>
              <w:lastRenderedPageBreak/>
              <w:t>4. General Provisions &amp; Facility - “Balancing Costs”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CBDC" w14:textId="0B17570B"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It is </w:t>
            </w:r>
            <w:r w:rsidR="000F2824">
              <w:rPr>
                <w:rFonts w:ascii="Times New Roman" w:hAnsi="Times New Roman"/>
                <w:lang w:val="en-GB"/>
              </w:rPr>
              <w:t>common</w:t>
            </w:r>
            <w:r w:rsidRPr="000F2824">
              <w:rPr>
                <w:rFonts w:ascii="Times New Roman" w:hAnsi="Times New Roman"/>
                <w:lang w:val="en-GB"/>
              </w:rPr>
              <w:t xml:space="preserve"> in the Spanish market practice that Parties wish to set out that the Balancing Costs will comprise all imbalance adjustments in accordance with the market activity rules, and will remain the responsibility of the Seller (which is managed via the Market Representation Agent / Balancing Responsible Party).</w:t>
            </w:r>
          </w:p>
          <w:p w14:paraId="267C73C4" w14:textId="689C058B" w:rsidR="0017341A" w:rsidRDefault="0017341A" w:rsidP="000F2824">
            <w:pPr>
              <w:ind w:left="2"/>
              <w:jc w:val="both"/>
              <w:rPr>
                <w:rFonts w:ascii="Times New Roman" w:hAnsi="Times New Roman"/>
                <w:lang w:val="en-GB"/>
              </w:rPr>
            </w:pPr>
            <w:r w:rsidRPr="000F2824">
              <w:rPr>
                <w:rFonts w:ascii="Times New Roman" w:hAnsi="Times New Roman"/>
                <w:lang w:val="en-GB"/>
              </w:rPr>
              <w:t>Parties may do so by including said language in point 4 of Section A, and including a definition of market activity rules:</w:t>
            </w:r>
          </w:p>
          <w:p w14:paraId="448D87E1" w14:textId="77777777" w:rsidR="000F2824" w:rsidRPr="000F2824" w:rsidRDefault="000F2824" w:rsidP="000F2824">
            <w:pPr>
              <w:ind w:left="2"/>
              <w:jc w:val="both"/>
              <w:rPr>
                <w:rFonts w:ascii="Times New Roman" w:hAnsi="Times New Roman"/>
                <w:lang w:val="en-GB"/>
              </w:rPr>
            </w:pPr>
          </w:p>
          <w:p w14:paraId="0F71EC90" w14:textId="77777777" w:rsidR="0017341A" w:rsidRPr="000F2824" w:rsidRDefault="0017341A" w:rsidP="000F2824">
            <w:pPr>
              <w:ind w:left="2"/>
              <w:jc w:val="both"/>
              <w:rPr>
                <w:rFonts w:ascii="Times New Roman" w:hAnsi="Times New Roman"/>
                <w:i/>
                <w:lang w:val="en-GB"/>
              </w:rPr>
            </w:pPr>
            <w:r w:rsidRPr="000F2824">
              <w:rPr>
                <w:rFonts w:ascii="Times New Roman" w:hAnsi="Times New Roman"/>
                <w:i/>
                <w:lang w:val="en-GB"/>
              </w:rPr>
              <w:t>“</w:t>
            </w:r>
            <w:r w:rsidRPr="000F2824">
              <w:rPr>
                <w:rFonts w:ascii="Times New Roman" w:hAnsi="Times New Roman"/>
                <w:b/>
                <w:i/>
                <w:lang w:val="en-GB"/>
              </w:rPr>
              <w:t>Market Activity Rules</w:t>
            </w:r>
            <w:r w:rsidRPr="000F2824">
              <w:rPr>
                <w:rFonts w:ascii="Times New Roman" w:hAnsi="Times New Roman"/>
                <w:i/>
                <w:lang w:val="en-GB"/>
              </w:rPr>
              <w:t xml:space="preserve">” means the </w:t>
            </w:r>
            <w:r w:rsidRPr="000F2824">
              <w:rPr>
                <w:rFonts w:ascii="Times New Roman" w:hAnsi="Times New Roman"/>
                <w:lang w:val="en-GB"/>
              </w:rPr>
              <w:t>Reglas de Funcionamiento del Mercado de Producción de Energía Eléctrica</w:t>
            </w:r>
            <w:r w:rsidRPr="000F2824">
              <w:rPr>
                <w:rFonts w:ascii="Times New Roman" w:hAnsi="Times New Roman"/>
                <w:i/>
                <w:lang w:val="en-GB"/>
              </w:rPr>
              <w:t xml:space="preserve"> and the Day-Ahead and Intraday Electricity Market Operating Rules (</w:t>
            </w:r>
            <w:r w:rsidRPr="000F2824">
              <w:rPr>
                <w:rFonts w:ascii="Times New Roman" w:hAnsi="Times New Roman"/>
                <w:lang w:val="en-GB"/>
              </w:rPr>
              <w:t>Reglas de Funcionamiento del Mercado Diario e Intradiario de Producción de Energía Eléctrica</w:t>
            </w:r>
            <w:r w:rsidRPr="000F2824">
              <w:rPr>
                <w:rFonts w:ascii="Times New Roman" w:hAnsi="Times New Roman"/>
                <w:i/>
                <w:lang w:val="en-GB"/>
              </w:rPr>
              <w:t>), both published and maintained by the Market Operator, the Operating Procedures (Procedimientos de Operación Peninsulares) published and maintained by the System Operator, the Electric Power Code (</w:t>
            </w:r>
            <w:r w:rsidRPr="000F2824">
              <w:rPr>
                <w:rFonts w:ascii="Times New Roman" w:hAnsi="Times New Roman"/>
                <w:lang w:val="en-GB"/>
              </w:rPr>
              <w:t>Código de la Energía Eléctrica</w:t>
            </w:r>
            <w:r w:rsidRPr="000F2824">
              <w:rPr>
                <w:rFonts w:ascii="Times New Roman" w:hAnsi="Times New Roman"/>
                <w:i/>
                <w:lang w:val="en-GB"/>
              </w:rPr>
              <w:t xml:space="preserve">) published and maintained by the Ministry of Energy, Tourism and Digital Agenda (MINETAD) and the State Agency Official State Gazette (BOE), with the participation of the CNMC and all other agreements, documents or codes (whether or not in existence at the date of this Agreement) with which the Buyer or the Seller: (a) is obliged to comply under Applicable Law; or (b) a reasonable and prudent operator is required to enter into in order to participate in the system. </w:t>
            </w:r>
          </w:p>
        </w:tc>
      </w:tr>
      <w:tr w:rsidR="0017341A" w:rsidRPr="000F2824" w14:paraId="66FF5F18" w14:textId="77777777" w:rsidTr="00805B54">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28F0" w14:textId="77777777" w:rsidR="0017341A" w:rsidRPr="000F2824" w:rsidRDefault="0017341A" w:rsidP="000F2824">
            <w:pPr>
              <w:ind w:left="2" w:right="-643"/>
              <w:jc w:val="both"/>
              <w:rPr>
                <w:rFonts w:ascii="Times New Roman" w:hAnsi="Times New Roman"/>
                <w:b/>
                <w:lang w:val="en-GB"/>
              </w:rPr>
            </w:pPr>
            <w:r w:rsidRPr="000F2824">
              <w:rPr>
                <w:rFonts w:ascii="Times New Roman" w:hAnsi="Times New Roman"/>
                <w:b/>
                <w:lang w:val="en-GB"/>
              </w:rPr>
              <w:t>Section B Elections</w:t>
            </w:r>
          </w:p>
        </w:tc>
      </w:tr>
      <w:tr w:rsidR="0017341A" w:rsidRPr="000F2824" w14:paraId="0913097E"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008BD" w14:textId="77777777" w:rsidR="0017341A" w:rsidRPr="000F2824" w:rsidRDefault="0017341A" w:rsidP="000F2824">
            <w:pPr>
              <w:ind w:left="142" w:right="30"/>
              <w:jc w:val="both"/>
              <w:rPr>
                <w:rFonts w:ascii="Times New Roman" w:hAnsi="Times New Roman"/>
                <w:lang w:val="en-GB"/>
              </w:rPr>
            </w:pPr>
            <w:r w:rsidRPr="000F2824">
              <w:rPr>
                <w:rFonts w:ascii="Times New Roman" w:hAnsi="Times New Roman"/>
                <w:lang w:val="en-GB"/>
              </w:rPr>
              <w:t>15.1 Definition of Force Majeure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1F84"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The definition of Force Majeure in Section 15.1 is narrowly defined, being limited to performance of the delivery and acceptance obligations and not wider obligations under the PPA.  The examples of Force Majeure events are similarly focussed on scheduling failures and malfunctions of transfer systems etc and not more conventional force majeure events such as acts of God etc.</w:t>
            </w:r>
          </w:p>
          <w:p w14:paraId="16A1D150"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Parties may therefore wish, when selecting Spanish Law as governing law, to widen (or replace) the definition of Force Majeure in Section B, including wording addressing the following points:</w:t>
            </w:r>
          </w:p>
          <w:p w14:paraId="58E7B30B" w14:textId="77777777" w:rsidR="0017341A" w:rsidRPr="000F2824" w:rsidRDefault="0017341A" w:rsidP="000F2824">
            <w:pPr>
              <w:numPr>
                <w:ilvl w:val="0"/>
                <w:numId w:val="6"/>
              </w:numPr>
              <w:suppressAutoHyphens/>
              <w:autoSpaceDN w:val="0"/>
              <w:spacing w:before="200" w:after="200" w:line="312" w:lineRule="auto"/>
              <w:ind w:left="2"/>
              <w:jc w:val="both"/>
              <w:textAlignment w:val="baseline"/>
              <w:rPr>
                <w:rFonts w:ascii="Times New Roman" w:hAnsi="Times New Roman"/>
                <w:lang w:val="en-GB"/>
              </w:rPr>
            </w:pPr>
            <w:r w:rsidRPr="000F2824">
              <w:rPr>
                <w:rFonts w:ascii="Times New Roman" w:hAnsi="Times New Roman"/>
                <w:lang w:val="en-GB"/>
              </w:rPr>
              <w:t>- that “</w:t>
            </w:r>
            <w:r w:rsidRPr="000F2824">
              <w:rPr>
                <w:rFonts w:ascii="Times New Roman" w:hAnsi="Times New Roman"/>
                <w:i/>
                <w:lang w:val="en-GB"/>
              </w:rPr>
              <w:t>Force Majeure shall include any event outside the reasonable control of the Party affecting its ability to perform any of its obligations under the agreement and which could not have been foreseen, prevented or avoided by a reasonable and prudent operator, or which is otherwise in accordance with Article 1105 of the Spanish Civil Code</w:t>
            </w:r>
            <w:r w:rsidRPr="000F2824">
              <w:rPr>
                <w:rFonts w:ascii="Times New Roman" w:hAnsi="Times New Roman"/>
                <w:lang w:val="en-GB"/>
              </w:rPr>
              <w:t xml:space="preserve">”; </w:t>
            </w:r>
          </w:p>
          <w:p w14:paraId="4BCC83B0" w14:textId="77777777" w:rsidR="0017341A" w:rsidRPr="000F2824" w:rsidRDefault="0017341A" w:rsidP="000F2824">
            <w:pPr>
              <w:numPr>
                <w:ilvl w:val="0"/>
                <w:numId w:val="6"/>
              </w:numPr>
              <w:suppressAutoHyphens/>
              <w:autoSpaceDN w:val="0"/>
              <w:spacing w:before="200" w:after="200" w:line="312" w:lineRule="auto"/>
              <w:ind w:left="2"/>
              <w:jc w:val="both"/>
              <w:textAlignment w:val="baseline"/>
              <w:rPr>
                <w:rFonts w:ascii="Times New Roman" w:hAnsi="Times New Roman"/>
                <w:lang w:val="en-GB"/>
              </w:rPr>
            </w:pPr>
            <w:r w:rsidRPr="000F2824">
              <w:rPr>
                <w:rFonts w:ascii="Times New Roman" w:hAnsi="Times New Roman"/>
                <w:lang w:val="en-GB"/>
              </w:rPr>
              <w:t>- that “</w:t>
            </w:r>
            <w:r w:rsidRPr="000F2824">
              <w:rPr>
                <w:rFonts w:ascii="Times New Roman" w:hAnsi="Times New Roman"/>
                <w:i/>
                <w:lang w:val="en-GB"/>
              </w:rPr>
              <w:t xml:space="preserve">Force Majeure will include acts of war, natural disaster, national strikes or other industrial action, threat of war, terrorist act, blockade, revolution, riot, insurrection, civil commotion, </w:t>
            </w:r>
            <w:r w:rsidRPr="000F2824">
              <w:rPr>
                <w:rFonts w:ascii="Times New Roman" w:hAnsi="Times New Roman"/>
                <w:i/>
                <w:lang w:val="en-GB"/>
              </w:rPr>
              <w:lastRenderedPageBreak/>
              <w:t>public demonstration, sabotage, lightning, fire, storm, flood, earthquake”</w:t>
            </w:r>
            <w:r w:rsidRPr="000F2824">
              <w:rPr>
                <w:rFonts w:ascii="Times New Roman" w:hAnsi="Times New Roman"/>
                <w:lang w:val="en-GB"/>
              </w:rPr>
              <w:t>; and</w:t>
            </w:r>
          </w:p>
          <w:p w14:paraId="7FE4D6D8" w14:textId="77777777" w:rsidR="0017341A" w:rsidRPr="000F2824" w:rsidRDefault="0017341A" w:rsidP="000F2824">
            <w:pPr>
              <w:numPr>
                <w:ilvl w:val="0"/>
                <w:numId w:val="6"/>
              </w:numPr>
              <w:suppressAutoHyphens/>
              <w:autoSpaceDN w:val="0"/>
              <w:spacing w:before="200" w:after="200" w:line="312" w:lineRule="auto"/>
              <w:ind w:left="2"/>
              <w:jc w:val="both"/>
              <w:textAlignment w:val="baseline"/>
              <w:rPr>
                <w:rFonts w:ascii="Times New Roman" w:hAnsi="Times New Roman"/>
                <w:lang w:val="en-GB"/>
              </w:rPr>
            </w:pPr>
            <w:r w:rsidRPr="000F2824">
              <w:rPr>
                <w:rFonts w:ascii="Times New Roman" w:hAnsi="Times New Roman"/>
                <w:lang w:val="en-GB"/>
              </w:rPr>
              <w:t xml:space="preserve">- that </w:t>
            </w:r>
            <w:r w:rsidRPr="000F2824">
              <w:rPr>
                <w:rFonts w:ascii="Times New Roman" w:hAnsi="Times New Roman"/>
                <w:i/>
                <w:lang w:val="en-GB"/>
              </w:rPr>
              <w:t>“lack of funds, strikes, negligence, breach or default only of a Party’s own employees and/or its contractors shall not constitute Force Majeure”</w:t>
            </w:r>
            <w:r w:rsidRPr="000F2824">
              <w:rPr>
                <w:rFonts w:ascii="Times New Roman" w:hAnsi="Times New Roman"/>
                <w:lang w:val="en-GB"/>
              </w:rPr>
              <w:t>.</w:t>
            </w:r>
          </w:p>
        </w:tc>
      </w:tr>
      <w:tr w:rsidR="0017341A" w:rsidRPr="000F2824" w14:paraId="0BEE07C9" w14:textId="77777777" w:rsidTr="00805B54">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E557" w14:textId="77777777" w:rsidR="0017341A" w:rsidRPr="000F2824" w:rsidRDefault="0017341A" w:rsidP="000F2824">
            <w:pPr>
              <w:ind w:left="2" w:right="-643"/>
              <w:jc w:val="both"/>
              <w:rPr>
                <w:rFonts w:ascii="Times New Roman" w:hAnsi="Times New Roman"/>
                <w:b/>
                <w:lang w:val="en-GB"/>
              </w:rPr>
            </w:pPr>
            <w:r w:rsidRPr="000F2824">
              <w:rPr>
                <w:rFonts w:ascii="Times New Roman" w:hAnsi="Times New Roman"/>
                <w:b/>
                <w:lang w:val="en-GB"/>
              </w:rPr>
              <w:lastRenderedPageBreak/>
              <w:t>PART II (General Provisions)</w:t>
            </w:r>
          </w:p>
        </w:tc>
      </w:tr>
      <w:tr w:rsidR="0017341A" w:rsidRPr="000F2824" w14:paraId="3EFEB069"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D60F1"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t>4 Construction and Commissioning of Facility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CDCDD" w14:textId="2AD6F5CC"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It is </w:t>
            </w:r>
            <w:r w:rsidR="000F2824">
              <w:rPr>
                <w:rFonts w:ascii="Times New Roman" w:hAnsi="Times New Roman"/>
                <w:lang w:val="en-GB"/>
              </w:rPr>
              <w:t>common</w:t>
            </w:r>
            <w:r w:rsidRPr="000F2824">
              <w:rPr>
                <w:rFonts w:ascii="Times New Roman" w:hAnsi="Times New Roman"/>
                <w:lang w:val="en-GB"/>
              </w:rPr>
              <w:t xml:space="preserve"> in the Spanish market practice that Parties wish to address delivery and pricing regime for deliveries taking place pre-Commercial Operations Date. </w:t>
            </w:r>
          </w:p>
          <w:p w14:paraId="1661BF90"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Parties may do so by including the relevant regime they would like to establish for deliveries taking place pre-COD in Section C.</w:t>
            </w:r>
          </w:p>
        </w:tc>
      </w:tr>
      <w:tr w:rsidR="0017341A" w:rsidRPr="000F2824" w14:paraId="6DC28B72"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6F5B"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t>4.5 Reduction of Capacity where Commissioning not Completed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6CD46"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(a) The definition of “Partially Commissioned” suggests that the actual installed capacity must be lower than the Capacity less the “Capacity Tolerance” before the Buyer can elect to reduce the Capacity. It is not infrequent in the Spanish market practice that the Buyer would seek to reduce the Capacity on an absolute basis without any tolerance at the Commissioning Longstop Date and that the tolerance is only applicable to termination.</w:t>
            </w:r>
          </w:p>
          <w:p w14:paraId="3A6DE0C1"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Parties may therefore wish to set the capacity tolerance at zero in point 4 of Section A, or include specific wording in this regard in Section C.</w:t>
            </w:r>
          </w:p>
          <w:p w14:paraId="24541C5D"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(b) In addition, on reducing capacity, it is frequent in the Spanish market practice that the Buyer may seek to recover damages to compensate for a reduced capacity over the Total Supply Period. </w:t>
            </w:r>
          </w:p>
          <w:p w14:paraId="49D0E3DE"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Parties may therefore wish to include specific wording in this regard in Section C.</w:t>
            </w:r>
          </w:p>
        </w:tc>
      </w:tr>
      <w:tr w:rsidR="0017341A" w:rsidRPr="000F2824" w14:paraId="32EA708A"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7F69"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t>4.6 Termination where Commissioning not completed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C7AB" w14:textId="18AEB530"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Termination is only exercisable following the Commissioning Longstop Date, where the Facility has only been “Partially Commissioned” by that date. In the Spanish market practice, Parties may clarify that “Partially Commissioned” includes zero capacity being commissioned. </w:t>
            </w:r>
          </w:p>
          <w:p w14:paraId="57D8D3DF"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Parties wishing to do so may amend the definition for "Partially Commissioned" in Section C in the following manner:</w:t>
            </w:r>
          </w:p>
          <w:p w14:paraId="3444E974" w14:textId="77777777" w:rsidR="0017341A" w:rsidRPr="000F2824" w:rsidRDefault="0017341A" w:rsidP="000F2824">
            <w:pPr>
              <w:ind w:left="2"/>
              <w:jc w:val="both"/>
              <w:rPr>
                <w:rFonts w:ascii="Times New Roman" w:hAnsi="Times New Roman"/>
                <w:i/>
                <w:lang w:val="en-GB"/>
              </w:rPr>
            </w:pPr>
            <w:r w:rsidRPr="000F2824">
              <w:rPr>
                <w:rFonts w:ascii="Times New Roman" w:hAnsi="Times New Roman"/>
                <w:b/>
                <w:bCs/>
                <w:i/>
                <w:lang w:val="en-GB"/>
              </w:rPr>
              <w:t xml:space="preserve">"Partially Commissioned" </w:t>
            </w:r>
            <w:r w:rsidRPr="000F2824">
              <w:rPr>
                <w:rFonts w:ascii="Times New Roman" w:hAnsi="Times New Roman"/>
                <w:bCs/>
                <w:i/>
                <w:lang w:val="en-GB"/>
              </w:rPr>
              <w:t>means where the capacity of the Facility has been Commissioned is lower than the Capacity reduced by the Capacity Tolerance. F</w:t>
            </w:r>
            <w:r w:rsidRPr="000F2824">
              <w:rPr>
                <w:rFonts w:ascii="Times New Roman" w:hAnsi="Times New Roman"/>
                <w:i/>
                <w:lang w:val="en-GB"/>
              </w:rPr>
              <w:t>or the avoidance of doubt, it also includes zero capacity being Commissioned.</w:t>
            </w:r>
          </w:p>
          <w:p w14:paraId="52BCE001" w14:textId="77777777" w:rsidR="0017341A" w:rsidRPr="000F2824" w:rsidRDefault="0017341A" w:rsidP="000F2824">
            <w:pPr>
              <w:ind w:left="2"/>
              <w:jc w:val="both"/>
              <w:rPr>
                <w:rFonts w:ascii="Times New Roman" w:hAnsi="Times New Roman"/>
                <w:lang w:val="en-GB"/>
              </w:rPr>
            </w:pPr>
          </w:p>
        </w:tc>
      </w:tr>
      <w:tr w:rsidR="0017341A" w:rsidRPr="000F2824" w14:paraId="2279C8CD"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C205E" w14:textId="77777777" w:rsidR="0017341A" w:rsidRPr="000F2824" w:rsidRDefault="0017341A" w:rsidP="000F2824">
            <w:pPr>
              <w:ind w:left="142" w:right="-643"/>
              <w:jc w:val="both"/>
              <w:rPr>
                <w:rFonts w:ascii="Times New Roman" w:hAnsi="Times New Roman"/>
                <w:lang w:val="en-GB"/>
              </w:rPr>
            </w:pPr>
            <w:proofErr w:type="gramStart"/>
            <w:r w:rsidRPr="000F2824">
              <w:rPr>
                <w:rFonts w:ascii="Times New Roman" w:hAnsi="Times New Roman"/>
                <w:lang w:val="en-GB"/>
              </w:rPr>
              <w:t>10  Certificates</w:t>
            </w:r>
            <w:proofErr w:type="gramEnd"/>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2A5DF" w14:textId="1488A4EA"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Particular regulation and </w:t>
            </w:r>
            <w:r w:rsidR="000F2824">
              <w:rPr>
                <w:rFonts w:ascii="Times New Roman" w:hAnsi="Times New Roman"/>
                <w:lang w:val="en-GB"/>
              </w:rPr>
              <w:t xml:space="preserve">the </w:t>
            </w:r>
            <w:r w:rsidRPr="000F2824">
              <w:rPr>
                <w:rFonts w:ascii="Times New Roman" w:hAnsi="Times New Roman"/>
                <w:lang w:val="en-GB"/>
              </w:rPr>
              <w:t xml:space="preserve">status of Guarantees of Origin under Spanish Law (incl. regarding transfer) needs to be </w:t>
            </w:r>
            <w:proofErr w:type="gramStart"/>
            <w:r w:rsidRPr="000F2824">
              <w:rPr>
                <w:rFonts w:ascii="Times New Roman" w:hAnsi="Times New Roman"/>
                <w:lang w:val="en-GB"/>
              </w:rPr>
              <w:t>taken</w:t>
            </w:r>
            <w:r w:rsidR="004B3566">
              <w:rPr>
                <w:rFonts w:ascii="Times New Roman" w:hAnsi="Times New Roman"/>
                <w:lang w:val="en-GB"/>
              </w:rPr>
              <w:t xml:space="preserve"> i</w:t>
            </w:r>
            <w:r w:rsidRPr="000F2824">
              <w:rPr>
                <w:rFonts w:ascii="Times New Roman" w:hAnsi="Times New Roman"/>
                <w:lang w:val="en-GB"/>
              </w:rPr>
              <w:t>nto</w:t>
            </w:r>
            <w:r w:rsidR="004B3566">
              <w:rPr>
                <w:rFonts w:ascii="Times New Roman" w:hAnsi="Times New Roman"/>
                <w:lang w:val="en-GB"/>
              </w:rPr>
              <w:t xml:space="preserve"> </w:t>
            </w:r>
            <w:r w:rsidRPr="000F2824">
              <w:rPr>
                <w:rFonts w:ascii="Times New Roman" w:hAnsi="Times New Roman"/>
                <w:lang w:val="en-GB"/>
              </w:rPr>
              <w:t>account</w:t>
            </w:r>
            <w:proofErr w:type="gramEnd"/>
            <w:r w:rsidRPr="000F2824">
              <w:rPr>
                <w:rFonts w:ascii="Times New Roman" w:hAnsi="Times New Roman"/>
                <w:lang w:val="en-GB"/>
              </w:rPr>
              <w:t>.</w:t>
            </w:r>
          </w:p>
          <w:p w14:paraId="79C208D1" w14:textId="5144C32F"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Parties may wish to address this in Section C by including specific reference to:</w:t>
            </w:r>
          </w:p>
          <w:p w14:paraId="23D92B98"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(i) “</w:t>
            </w:r>
            <w:r w:rsidRPr="000F2824">
              <w:rPr>
                <w:rFonts w:ascii="Times New Roman" w:hAnsi="Times New Roman"/>
                <w:i/>
                <w:lang w:val="en-GB"/>
              </w:rPr>
              <w:t>Spanish regulations relating to Guarantees or Origin (inc., inter alia, Order ITC/1522/2007, of 24 May, which regulates guarantees of origin of power installations from renewable sources and cogeneration of high efficiency, and Circular 1/2018, of 18 April, of the Market Regulator, which regulates the management of the guarantees of origin system of power installations from renewable sources and cogeneration of high efficiency) (as amended from time to time)</w:t>
            </w:r>
            <w:r w:rsidRPr="000F2824">
              <w:rPr>
                <w:rFonts w:ascii="Times New Roman" w:hAnsi="Times New Roman"/>
                <w:lang w:val="en-GB"/>
              </w:rPr>
              <w:t>”; and</w:t>
            </w:r>
          </w:p>
          <w:p w14:paraId="5D6A2ED3" w14:textId="07582A1E" w:rsidR="0017341A" w:rsidRDefault="0017341A" w:rsidP="000F2824">
            <w:pPr>
              <w:ind w:left="2"/>
              <w:jc w:val="both"/>
              <w:rPr>
                <w:rFonts w:ascii="Times New Roman" w:hAnsi="Times New Roman"/>
                <w:lang w:val="en-GB"/>
              </w:rPr>
            </w:pPr>
            <w:r w:rsidRPr="000F2824">
              <w:rPr>
                <w:rFonts w:ascii="Times New Roman" w:hAnsi="Times New Roman"/>
                <w:lang w:val="en-GB"/>
              </w:rPr>
              <w:t>(ii) the fact that “</w:t>
            </w:r>
            <w:r w:rsidRPr="000F2824">
              <w:rPr>
                <w:rFonts w:ascii="Times New Roman" w:hAnsi="Times New Roman"/>
                <w:i/>
                <w:lang w:val="en-GB"/>
              </w:rPr>
              <w:t>transfer of Guarantees of Origin shall comply with all requirements said out in applicable regulation and any interpretation from the CNMC</w:t>
            </w:r>
            <w:r w:rsidRPr="000F2824">
              <w:rPr>
                <w:rFonts w:ascii="Times New Roman" w:hAnsi="Times New Roman"/>
                <w:lang w:val="en-GB"/>
              </w:rPr>
              <w:t>”.</w:t>
            </w:r>
          </w:p>
          <w:p w14:paraId="5C54713A" w14:textId="77777777" w:rsidR="000F2824" w:rsidRPr="000F2824" w:rsidRDefault="000F2824" w:rsidP="000F2824">
            <w:pPr>
              <w:ind w:left="2"/>
              <w:jc w:val="both"/>
              <w:rPr>
                <w:rFonts w:ascii="Times New Roman" w:hAnsi="Times New Roman"/>
                <w:lang w:val="en-GB"/>
              </w:rPr>
            </w:pPr>
          </w:p>
          <w:p w14:paraId="4A216CD7" w14:textId="147F33AC" w:rsidR="0017341A" w:rsidRDefault="000F2824" w:rsidP="000F2824">
            <w:pPr>
              <w:ind w:left="2"/>
              <w:rPr>
                <w:rFonts w:ascii="Times New Roman" w:hAnsi="Times New Roman"/>
                <w:lang w:val="en-GB"/>
              </w:rPr>
            </w:pPr>
            <w:r>
              <w:rPr>
                <w:rFonts w:ascii="Times New Roman" w:hAnsi="Times New Roman"/>
                <w:lang w:val="en-GB"/>
              </w:rPr>
              <w:lastRenderedPageBreak/>
              <w:t>R</w:t>
            </w:r>
            <w:r w:rsidR="0017341A" w:rsidRPr="000F2824">
              <w:rPr>
                <w:rFonts w:ascii="Times New Roman" w:hAnsi="Times New Roman"/>
                <w:lang w:val="en-GB"/>
              </w:rPr>
              <w:t xml:space="preserve">elevant Spanish law can be found at: </w:t>
            </w:r>
            <w:hyperlink r:id="rId8" w:history="1">
              <w:r w:rsidRPr="000A6A75">
                <w:rPr>
                  <w:rStyle w:val="Hyperlink"/>
                  <w:rFonts w:ascii="Times New Roman" w:hAnsi="Times New Roman"/>
                  <w:lang w:val="en-GB"/>
                </w:rPr>
                <w:t>https://gdo.cnmc.es/CNE/accesoInformacionGeneral.do</w:t>
              </w:r>
            </w:hyperlink>
          </w:p>
          <w:p w14:paraId="4D932EDE" w14:textId="2E889DFB" w:rsidR="000F2824" w:rsidRPr="000F2824" w:rsidRDefault="000F2824" w:rsidP="000F2824">
            <w:pPr>
              <w:ind w:left="2"/>
              <w:jc w:val="both"/>
              <w:rPr>
                <w:rFonts w:ascii="Times New Roman" w:hAnsi="Times New Roman"/>
                <w:lang w:val="en-GB"/>
              </w:rPr>
            </w:pPr>
          </w:p>
        </w:tc>
      </w:tr>
      <w:tr w:rsidR="0017341A" w:rsidRPr="000F2824" w14:paraId="11CBD694"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2542"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lastRenderedPageBreak/>
              <w:t>16.2 Change in Law and Price Adjustments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2514" w14:textId="6EEE1377" w:rsidR="0017341A" w:rsidRDefault="0017341A" w:rsidP="000F2824">
            <w:pPr>
              <w:ind w:left="2"/>
              <w:jc w:val="both"/>
              <w:rPr>
                <w:rFonts w:ascii="Times New Roman" w:hAnsi="Times New Roman"/>
                <w:lang w:val="en-GB"/>
              </w:rPr>
            </w:pPr>
            <w:r w:rsidRPr="000F2824">
              <w:rPr>
                <w:rFonts w:ascii="Times New Roman" w:hAnsi="Times New Roman"/>
                <w:lang w:val="en-GB"/>
              </w:rPr>
              <w:t xml:space="preserve">(a) In Spanish market practice,  Parties may wish to limit Change in Law to those changes in law coming into effect after the date of the agreement, and to exclude those changes in law which might be foreseeable (e.g. proposed in consultation prior to the date of the agreement, etc.). </w:t>
            </w:r>
          </w:p>
          <w:p w14:paraId="3E6DAF19" w14:textId="77777777" w:rsidR="000F2824" w:rsidRPr="000F2824" w:rsidRDefault="000F2824" w:rsidP="000F2824">
            <w:pPr>
              <w:ind w:left="2"/>
              <w:jc w:val="both"/>
              <w:rPr>
                <w:rFonts w:ascii="Times New Roman" w:hAnsi="Times New Roman"/>
                <w:lang w:val="en-GB"/>
              </w:rPr>
            </w:pPr>
          </w:p>
          <w:p w14:paraId="2D162A69"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(b) In Spanish market practice Parties may wish to address the impact of any update of remuneration system for renewables (including restricting the ability to negotiate price).</w:t>
            </w:r>
          </w:p>
          <w:p w14:paraId="4665D62F" w14:textId="77EA3292" w:rsidR="0017341A" w:rsidRDefault="000F2824" w:rsidP="000F2824">
            <w:pPr>
              <w:ind w:left="2"/>
              <w:jc w:val="both"/>
              <w:rPr>
                <w:rFonts w:ascii="Times New Roman" w:hAnsi="Times New Roman"/>
                <w:lang w:val="en-GB"/>
              </w:rPr>
            </w:pPr>
            <w:r>
              <w:rPr>
                <w:rFonts w:ascii="Times New Roman" w:hAnsi="Times New Roman"/>
                <w:lang w:val="en-GB"/>
              </w:rPr>
              <w:t>Information on the r</w:t>
            </w:r>
            <w:r w:rsidR="0017341A" w:rsidRPr="000F2824">
              <w:rPr>
                <w:rFonts w:ascii="Times New Roman" w:hAnsi="Times New Roman"/>
                <w:lang w:val="en-GB"/>
              </w:rPr>
              <w:t xml:space="preserve">emuneration system for renewables and update thereof can be found at: </w:t>
            </w:r>
            <w:hyperlink r:id="rId9" w:history="1">
              <w:r w:rsidRPr="000A6A75">
                <w:rPr>
                  <w:rStyle w:val="Hyperlink"/>
                  <w:rFonts w:ascii="Times New Roman" w:hAnsi="Times New Roman"/>
                  <w:lang w:val="en-GB"/>
                </w:rPr>
                <w:t>https://www.cnmc.es</w:t>
              </w:r>
            </w:hyperlink>
          </w:p>
          <w:p w14:paraId="148E14E6" w14:textId="77777777" w:rsidR="000F2824" w:rsidRPr="000F2824" w:rsidRDefault="000F2824" w:rsidP="000F2824">
            <w:pPr>
              <w:ind w:left="2"/>
              <w:jc w:val="both"/>
              <w:rPr>
                <w:rFonts w:ascii="Times New Roman" w:hAnsi="Times New Roman"/>
                <w:lang w:val="en-GB"/>
              </w:rPr>
            </w:pPr>
          </w:p>
          <w:p w14:paraId="4BD6B352" w14:textId="304EBB02" w:rsidR="0017341A" w:rsidRDefault="0017341A" w:rsidP="000F2824">
            <w:pPr>
              <w:ind w:left="2"/>
              <w:jc w:val="both"/>
              <w:rPr>
                <w:rFonts w:ascii="Times New Roman" w:hAnsi="Times New Roman"/>
                <w:lang w:val="en-GB"/>
              </w:rPr>
            </w:pPr>
            <w:r w:rsidRPr="000F2824">
              <w:rPr>
                <w:rFonts w:ascii="Times New Roman" w:hAnsi="Times New Roman"/>
                <w:lang w:val="en-GB"/>
              </w:rPr>
              <w:t>(c) In the Spanish market practice, Parties may wish to address shar</w:t>
            </w:r>
            <w:r w:rsidR="000F2824">
              <w:rPr>
                <w:rFonts w:ascii="Times New Roman" w:hAnsi="Times New Roman"/>
                <w:lang w:val="en-GB"/>
              </w:rPr>
              <w:t xml:space="preserve">ed </w:t>
            </w:r>
            <w:r w:rsidRPr="000F2824">
              <w:rPr>
                <w:rFonts w:ascii="Times New Roman" w:hAnsi="Times New Roman"/>
                <w:lang w:val="en-GB"/>
              </w:rPr>
              <w:t>allocation of responsibility for the Electricity Generation Tax (</w:t>
            </w:r>
            <w:r w:rsidRPr="000F2824">
              <w:rPr>
                <w:rFonts w:ascii="Times New Roman" w:hAnsi="Times New Roman"/>
                <w:i/>
                <w:lang w:val="en-GB"/>
              </w:rPr>
              <w:t>Impuesto sobre el Valor de la Producción de la Energía Eléctrica (IVPEE)</w:t>
            </w:r>
            <w:r w:rsidRPr="000F2824">
              <w:rPr>
                <w:rFonts w:ascii="Times New Roman" w:hAnsi="Times New Roman"/>
                <w:lang w:val="en-GB"/>
              </w:rPr>
              <w:t xml:space="preserve">). </w:t>
            </w:r>
          </w:p>
          <w:p w14:paraId="5769121E" w14:textId="77777777" w:rsidR="000F2824" w:rsidRPr="000F2824" w:rsidRDefault="000F2824" w:rsidP="000F2824">
            <w:pPr>
              <w:ind w:left="2"/>
              <w:jc w:val="both"/>
              <w:rPr>
                <w:rFonts w:ascii="Times New Roman" w:hAnsi="Times New Roman"/>
                <w:lang w:val="en-GB"/>
              </w:rPr>
            </w:pPr>
          </w:p>
          <w:p w14:paraId="26886DFA" w14:textId="77777777" w:rsidR="0017341A" w:rsidRDefault="0017341A" w:rsidP="000F2824">
            <w:pPr>
              <w:ind w:left="2"/>
              <w:jc w:val="both"/>
              <w:rPr>
                <w:rFonts w:ascii="Times New Roman" w:hAnsi="Times New Roman"/>
                <w:lang w:val="en-GB"/>
              </w:rPr>
            </w:pPr>
            <w:r w:rsidRPr="000F2824">
              <w:rPr>
                <w:rFonts w:ascii="Times New Roman" w:hAnsi="Times New Roman"/>
                <w:lang w:val="en-GB"/>
              </w:rPr>
              <w:t>Regulation of IVPEE can be found at the link below</w:t>
            </w:r>
            <w:r w:rsidRPr="000F2824">
              <w:rPr>
                <w:rStyle w:val="FootnoteReference"/>
                <w:rFonts w:ascii="Times New Roman" w:hAnsi="Times New Roman"/>
                <w:lang w:val="en-GB"/>
              </w:rPr>
              <w:footnoteReference w:id="1"/>
            </w:r>
            <w:r w:rsidRPr="000F2824">
              <w:rPr>
                <w:rFonts w:ascii="Times New Roman" w:hAnsi="Times New Roman"/>
                <w:lang w:val="en-GB"/>
              </w:rPr>
              <w:t>.</w:t>
            </w:r>
            <w:r w:rsidR="000F2824">
              <w:rPr>
                <w:rFonts w:ascii="Times New Roman" w:hAnsi="Times New Roman"/>
                <w:lang w:val="en-GB"/>
              </w:rPr>
              <w:t xml:space="preserve"> </w:t>
            </w:r>
            <w:r w:rsidRPr="000F2824">
              <w:rPr>
                <w:rFonts w:ascii="Times New Roman" w:hAnsi="Times New Roman"/>
                <w:lang w:val="en-GB"/>
              </w:rPr>
              <w:t xml:space="preserve">Parties may do so by agreeing specific wording in </w:t>
            </w:r>
            <w:proofErr w:type="gramStart"/>
            <w:r w:rsidRPr="000F2824">
              <w:rPr>
                <w:rFonts w:ascii="Times New Roman" w:hAnsi="Times New Roman"/>
                <w:lang w:val="en-GB"/>
              </w:rPr>
              <w:t>that  regard</w:t>
            </w:r>
            <w:proofErr w:type="gramEnd"/>
            <w:r w:rsidRPr="000F2824">
              <w:rPr>
                <w:rFonts w:ascii="Times New Roman" w:hAnsi="Times New Roman"/>
                <w:lang w:val="en-GB"/>
              </w:rPr>
              <w:t xml:space="preserve"> in Section C.</w:t>
            </w:r>
          </w:p>
          <w:p w14:paraId="4C73CEA8" w14:textId="1EE0862F" w:rsidR="000F2824" w:rsidRPr="000F2824" w:rsidRDefault="000F2824" w:rsidP="000F2824">
            <w:pPr>
              <w:ind w:left="2"/>
              <w:jc w:val="both"/>
              <w:rPr>
                <w:rFonts w:ascii="Times New Roman" w:hAnsi="Times New Roman"/>
                <w:lang w:val="en-GB"/>
              </w:rPr>
            </w:pPr>
          </w:p>
        </w:tc>
      </w:tr>
      <w:tr w:rsidR="0017341A" w:rsidRPr="000F2824" w14:paraId="5E7972EC"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3B38C"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t>18.4 Automatic Termination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FA9" w14:textId="77777777" w:rsidR="0017341A" w:rsidRDefault="0017341A" w:rsidP="000F2824">
            <w:pPr>
              <w:ind w:left="2"/>
              <w:jc w:val="both"/>
              <w:rPr>
                <w:rFonts w:ascii="Times New Roman" w:hAnsi="Times New Roman"/>
                <w:lang w:val="en-GB"/>
              </w:rPr>
            </w:pPr>
            <w:r w:rsidRPr="000F2824">
              <w:rPr>
                <w:rFonts w:ascii="Times New Roman" w:hAnsi="Times New Roman"/>
                <w:lang w:val="en-GB"/>
              </w:rPr>
              <w:t xml:space="preserve">Please refer to advice provided in </w:t>
            </w:r>
            <w:r w:rsidR="000F2824">
              <w:rPr>
                <w:rFonts w:ascii="Times New Roman" w:hAnsi="Times New Roman"/>
                <w:lang w:val="en-GB"/>
              </w:rPr>
              <w:t>l</w:t>
            </w:r>
            <w:r w:rsidRPr="000F2824">
              <w:rPr>
                <w:rFonts w:ascii="Times New Roman" w:hAnsi="Times New Roman"/>
                <w:lang w:val="en-GB"/>
              </w:rPr>
              <w:t xml:space="preserve">egal </w:t>
            </w:r>
            <w:r w:rsidR="000F2824">
              <w:rPr>
                <w:rFonts w:ascii="Times New Roman" w:hAnsi="Times New Roman"/>
                <w:lang w:val="en-GB"/>
              </w:rPr>
              <w:t>o</w:t>
            </w:r>
            <w:r w:rsidRPr="000F2824">
              <w:rPr>
                <w:rFonts w:ascii="Times New Roman" w:hAnsi="Times New Roman"/>
                <w:lang w:val="en-GB"/>
              </w:rPr>
              <w:t xml:space="preserve">pinions on the EFET General Agreement as available through </w:t>
            </w:r>
            <w:hyperlink r:id="rId10" w:history="1">
              <w:r w:rsidRPr="000F2824">
                <w:rPr>
                  <w:rStyle w:val="Hyperlink"/>
                  <w:rFonts w:ascii="Times New Roman" w:hAnsi="Times New Roman"/>
                  <w:lang w:val="en-GB"/>
                </w:rPr>
                <w:t>secretariat@efet.org</w:t>
              </w:r>
            </w:hyperlink>
          </w:p>
          <w:p w14:paraId="473BDC26" w14:textId="66D7414A" w:rsidR="000F2824" w:rsidRPr="000F2824" w:rsidRDefault="000F2824" w:rsidP="000F2824">
            <w:pPr>
              <w:ind w:left="2"/>
              <w:jc w:val="both"/>
              <w:rPr>
                <w:rFonts w:ascii="Times New Roman" w:hAnsi="Times New Roman"/>
                <w:lang w:val="en-GB"/>
              </w:rPr>
            </w:pPr>
          </w:p>
        </w:tc>
      </w:tr>
      <w:tr w:rsidR="0017341A" w:rsidRPr="000F2824" w14:paraId="1D3CBD33"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AEC2" w14:textId="77777777" w:rsidR="0017341A" w:rsidRPr="000F2824" w:rsidRDefault="0017341A" w:rsidP="000F2824">
            <w:pPr>
              <w:ind w:left="142"/>
              <w:jc w:val="both"/>
              <w:rPr>
                <w:rFonts w:ascii="Times New Roman" w:hAnsi="Times New Roman"/>
                <w:lang w:val="en-GB"/>
              </w:rPr>
            </w:pPr>
            <w:r w:rsidRPr="000F2824">
              <w:rPr>
                <w:rFonts w:ascii="Times New Roman" w:hAnsi="Times New Roman"/>
                <w:lang w:val="en-GB"/>
              </w:rPr>
              <w:t>18.5(b) Winding-up / Insolvency / Attachment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C965" w14:textId="40C14500" w:rsidR="000F2824" w:rsidRDefault="0017341A" w:rsidP="000F2824">
            <w:pPr>
              <w:ind w:left="2"/>
              <w:jc w:val="both"/>
              <w:rPr>
                <w:rFonts w:ascii="Times New Roman" w:hAnsi="Times New Roman"/>
                <w:lang w:val="en-GB"/>
              </w:rPr>
            </w:pPr>
            <w:r w:rsidRPr="000F2824">
              <w:rPr>
                <w:rFonts w:ascii="Times New Roman" w:hAnsi="Times New Roman"/>
                <w:lang w:val="en-GB"/>
              </w:rPr>
              <w:t>On Spanish insolvency law matters, please refer to legal opinions on the EFET General Agreement. T</w:t>
            </w:r>
            <w:r w:rsidR="000F2824">
              <w:rPr>
                <w:rFonts w:ascii="Times New Roman" w:hAnsi="Times New Roman"/>
                <w:lang w:val="en-GB"/>
              </w:rPr>
              <w:t>he</w:t>
            </w:r>
            <w:r w:rsidRPr="000F2824">
              <w:rPr>
                <w:rFonts w:ascii="Times New Roman" w:hAnsi="Times New Roman"/>
                <w:lang w:val="en-GB"/>
              </w:rPr>
              <w:t xml:space="preserve"> </w:t>
            </w:r>
            <w:r w:rsidR="000F2824">
              <w:rPr>
                <w:rFonts w:ascii="Times New Roman" w:hAnsi="Times New Roman"/>
                <w:lang w:val="en-GB"/>
              </w:rPr>
              <w:t xml:space="preserve">Spanish legal </w:t>
            </w:r>
            <w:r w:rsidRPr="000F2824">
              <w:rPr>
                <w:rFonts w:ascii="Times New Roman" w:hAnsi="Times New Roman"/>
                <w:lang w:val="en-GB"/>
              </w:rPr>
              <w:t>opinion can be pro</w:t>
            </w:r>
            <w:r w:rsidR="000F2824">
              <w:rPr>
                <w:rFonts w:ascii="Times New Roman" w:hAnsi="Times New Roman"/>
                <w:lang w:val="en-GB"/>
              </w:rPr>
              <w:t>cured</w:t>
            </w:r>
            <w:r w:rsidRPr="000F2824">
              <w:rPr>
                <w:rFonts w:ascii="Times New Roman" w:hAnsi="Times New Roman"/>
                <w:lang w:val="en-GB"/>
              </w:rPr>
              <w:t xml:space="preserve"> </w:t>
            </w:r>
            <w:r w:rsidR="000F2824">
              <w:rPr>
                <w:rFonts w:ascii="Times New Roman" w:hAnsi="Times New Roman"/>
                <w:lang w:val="en-GB"/>
              </w:rPr>
              <w:t xml:space="preserve">by contacting </w:t>
            </w:r>
            <w:hyperlink r:id="rId11" w:history="1">
              <w:r w:rsidR="000F2824" w:rsidRPr="000A6A75">
                <w:rPr>
                  <w:rStyle w:val="Hyperlink"/>
                  <w:rFonts w:ascii="Times New Roman" w:hAnsi="Times New Roman"/>
                  <w:lang w:val="en-GB"/>
                </w:rPr>
                <w:t>secretariat@efet.org</w:t>
              </w:r>
            </w:hyperlink>
          </w:p>
          <w:p w14:paraId="0A4F3F51" w14:textId="682AF3A4"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 </w:t>
            </w:r>
          </w:p>
        </w:tc>
      </w:tr>
      <w:tr w:rsidR="0017341A" w:rsidRPr="000F2824" w14:paraId="69B90985"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1EE6" w14:textId="77777777" w:rsidR="0017341A" w:rsidRPr="000F2824" w:rsidRDefault="0017341A" w:rsidP="000F2824">
            <w:pPr>
              <w:ind w:left="142" w:right="36"/>
              <w:jc w:val="both"/>
              <w:rPr>
                <w:rFonts w:ascii="Times New Roman" w:hAnsi="Times New Roman"/>
                <w:lang w:val="en-GB"/>
              </w:rPr>
            </w:pPr>
            <w:r w:rsidRPr="000F2824">
              <w:rPr>
                <w:rFonts w:ascii="Times New Roman" w:hAnsi="Times New Roman"/>
                <w:lang w:val="en-GB"/>
              </w:rPr>
              <w:t>18.5(d) Long Term Force Majeure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5416F"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Depending on the scale, complexity and generation technology of the Facility, a twelve-month termination trigger for prolonged force majeure may not be appropriate in the Spanish market (e.g. for solar PV a shorter period may be more common).</w:t>
            </w:r>
          </w:p>
          <w:p w14:paraId="572609A7" w14:textId="77777777" w:rsidR="000F2824" w:rsidRDefault="000F2824" w:rsidP="000F2824">
            <w:pPr>
              <w:ind w:left="2"/>
              <w:jc w:val="both"/>
              <w:rPr>
                <w:rFonts w:ascii="Times New Roman" w:hAnsi="Times New Roman"/>
                <w:lang w:val="en-GB"/>
              </w:rPr>
            </w:pPr>
          </w:p>
          <w:p w14:paraId="781C1E08" w14:textId="5180D988"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Parties may therefore wish to </w:t>
            </w:r>
            <w:r w:rsidR="000F2824" w:rsidRPr="000F2824">
              <w:rPr>
                <w:rFonts w:ascii="Times New Roman" w:hAnsi="Times New Roman"/>
                <w:lang w:val="en-GB"/>
              </w:rPr>
              <w:t>accommodate</w:t>
            </w:r>
            <w:r w:rsidRPr="000F2824">
              <w:rPr>
                <w:rFonts w:ascii="Times New Roman" w:hAnsi="Times New Roman"/>
                <w:lang w:val="en-GB"/>
              </w:rPr>
              <w:t xml:space="preserve"> the period in Section C. </w:t>
            </w:r>
          </w:p>
        </w:tc>
      </w:tr>
      <w:tr w:rsidR="0017341A" w:rsidRPr="000F2824" w14:paraId="69481289"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F33D1"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t>19.3 Outstanding Debt Termination Amount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3C679" w14:textId="2AF23BDC" w:rsidR="0017341A" w:rsidRDefault="0017341A" w:rsidP="000F2824">
            <w:pPr>
              <w:ind w:left="2"/>
              <w:jc w:val="both"/>
              <w:rPr>
                <w:rStyle w:val="Fuentedeprrafopredeter1"/>
                <w:rFonts w:ascii="Times New Roman" w:hAnsi="Times New Roman"/>
                <w:lang w:val="en-GB"/>
              </w:rPr>
            </w:pPr>
            <w:r w:rsidRPr="000F2824">
              <w:rPr>
                <w:rStyle w:val="Fuentedeprrafopredeter1"/>
                <w:rFonts w:ascii="Times New Roman" w:hAnsi="Times New Roman"/>
                <w:lang w:val="en-GB"/>
              </w:rPr>
              <w:t xml:space="preserve">(a) </w:t>
            </w:r>
            <w:r w:rsidRPr="000F2824">
              <w:rPr>
                <w:rFonts w:ascii="Times New Roman" w:hAnsi="Times New Roman"/>
                <w:lang w:val="en-GB"/>
              </w:rPr>
              <w:t xml:space="preserve">It is </w:t>
            </w:r>
            <w:r w:rsidR="000F2824">
              <w:rPr>
                <w:rFonts w:ascii="Times New Roman" w:hAnsi="Times New Roman"/>
                <w:lang w:val="en-GB"/>
              </w:rPr>
              <w:t xml:space="preserve">common </w:t>
            </w:r>
            <w:r w:rsidRPr="000F2824">
              <w:rPr>
                <w:rFonts w:ascii="Times New Roman" w:hAnsi="Times New Roman"/>
                <w:lang w:val="en-GB"/>
              </w:rPr>
              <w:t>in the Spanish market practice</w:t>
            </w:r>
            <w:r w:rsidRPr="000F2824">
              <w:rPr>
                <w:rStyle w:val="Fuentedeprrafopredeter1"/>
                <w:rFonts w:ascii="Times New Roman" w:hAnsi="Times New Roman"/>
                <w:lang w:val="en-GB"/>
              </w:rPr>
              <w:t xml:space="preserve"> that it is the </w:t>
            </w:r>
            <w:r w:rsidRPr="000F2824">
              <w:rPr>
                <w:rStyle w:val="Fuentedeprrafopredeter1"/>
                <w:rFonts w:ascii="Times New Roman" w:hAnsi="Times New Roman"/>
                <w:b/>
                <w:i/>
                <w:lang w:val="en-GB"/>
              </w:rPr>
              <w:t xml:space="preserve">outstanding </w:t>
            </w:r>
            <w:r w:rsidRPr="000F2824">
              <w:rPr>
                <w:rStyle w:val="Fuentedeprrafopredeter1"/>
                <w:rFonts w:ascii="Times New Roman" w:hAnsi="Times New Roman"/>
                <w:lang w:val="en-GB"/>
              </w:rPr>
              <w:t xml:space="preserve">senior debt and interest (i.e. a mandatory prepayment triggered by termination of the PPA) which is </w:t>
            </w:r>
            <w:proofErr w:type="gramStart"/>
            <w:r w:rsidRPr="000F2824">
              <w:rPr>
                <w:rStyle w:val="Fuentedeprrafopredeter1"/>
                <w:rFonts w:ascii="Times New Roman" w:hAnsi="Times New Roman"/>
                <w:lang w:val="en-GB"/>
              </w:rPr>
              <w:t>taken into account</w:t>
            </w:r>
            <w:proofErr w:type="gramEnd"/>
            <w:r w:rsidRPr="000F2824">
              <w:rPr>
                <w:rStyle w:val="Fuentedeprrafopredeter1"/>
                <w:rFonts w:ascii="Times New Roman" w:hAnsi="Times New Roman"/>
                <w:lang w:val="en-GB"/>
              </w:rPr>
              <w:t xml:space="preserve"> and not historic debt service payments previously made to the Senior Lenders.</w:t>
            </w:r>
          </w:p>
          <w:p w14:paraId="29EF33BA" w14:textId="77777777" w:rsidR="000F2824" w:rsidRPr="000F2824" w:rsidRDefault="000F2824" w:rsidP="000F2824">
            <w:pPr>
              <w:ind w:left="2"/>
              <w:jc w:val="both"/>
              <w:rPr>
                <w:rStyle w:val="Fuentedeprrafopredeter1"/>
                <w:rFonts w:ascii="Times New Roman" w:hAnsi="Times New Roman"/>
                <w:lang w:val="en-GB"/>
              </w:rPr>
            </w:pPr>
          </w:p>
          <w:p w14:paraId="44C1D903"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(b) In addition, the equity rate of return may be difficult to objectively ascertain or verify. The equity return rate should be specified in the PPA from the outset or some sort of escrow or benchmarking methodology used if disclosure of the equity return rate at the outset is commercially sensitive.</w:t>
            </w:r>
          </w:p>
          <w:p w14:paraId="121F6402" w14:textId="77777777" w:rsidR="0017341A" w:rsidRDefault="0017341A" w:rsidP="000F2824">
            <w:pPr>
              <w:ind w:left="2"/>
              <w:jc w:val="both"/>
              <w:rPr>
                <w:rStyle w:val="Fuentedeprrafopredeter1"/>
                <w:rFonts w:ascii="Times New Roman" w:hAnsi="Times New Roman"/>
                <w:lang w:val="en-GB"/>
              </w:rPr>
            </w:pPr>
            <w:r w:rsidRPr="000F2824">
              <w:rPr>
                <w:rFonts w:ascii="Times New Roman" w:hAnsi="Times New Roman"/>
                <w:lang w:val="en-GB"/>
              </w:rPr>
              <w:t xml:space="preserve">Parties may therefore wish to clarify said points in Section C, or draft a </w:t>
            </w:r>
            <w:r w:rsidRPr="000F2824">
              <w:rPr>
                <w:rStyle w:val="Fuentedeprrafopredeter1"/>
                <w:rFonts w:ascii="Times New Roman" w:hAnsi="Times New Roman"/>
                <w:lang w:val="en-GB"/>
              </w:rPr>
              <w:t>new termination amount under §19.4 in Section B.</w:t>
            </w:r>
          </w:p>
          <w:p w14:paraId="5BAF25C0" w14:textId="58A02103" w:rsidR="000F2824" w:rsidRPr="000F2824" w:rsidRDefault="000F2824" w:rsidP="000F2824">
            <w:pPr>
              <w:ind w:left="2"/>
              <w:jc w:val="both"/>
              <w:rPr>
                <w:rFonts w:ascii="Times New Roman" w:hAnsi="Times New Roman"/>
                <w:lang w:val="en-GB"/>
              </w:rPr>
            </w:pPr>
          </w:p>
        </w:tc>
      </w:tr>
      <w:tr w:rsidR="0017341A" w:rsidRPr="000F2824" w14:paraId="458C7A92"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FF2B" w14:textId="77777777" w:rsidR="0017341A" w:rsidRPr="000F2824" w:rsidRDefault="0017341A" w:rsidP="000F2824">
            <w:pPr>
              <w:ind w:left="142"/>
              <w:jc w:val="both"/>
              <w:rPr>
                <w:rFonts w:ascii="Times New Roman" w:hAnsi="Times New Roman"/>
                <w:lang w:val="en-GB"/>
              </w:rPr>
            </w:pPr>
            <w:r w:rsidRPr="000F2824">
              <w:rPr>
                <w:rFonts w:ascii="Times New Roman" w:hAnsi="Times New Roman"/>
                <w:lang w:val="en-GB"/>
              </w:rPr>
              <w:t>20.1 Maintenance of Insurance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CF97" w14:textId="376521C8" w:rsidR="0017341A" w:rsidRDefault="0017341A" w:rsidP="000F2824">
            <w:pPr>
              <w:ind w:left="2"/>
              <w:jc w:val="both"/>
              <w:rPr>
                <w:rFonts w:ascii="Times New Roman" w:hAnsi="Times New Roman"/>
                <w:lang w:val="en-GB"/>
              </w:rPr>
            </w:pPr>
            <w:r w:rsidRPr="000F2824">
              <w:rPr>
                <w:rFonts w:ascii="Times New Roman" w:hAnsi="Times New Roman"/>
                <w:lang w:val="en-GB"/>
              </w:rPr>
              <w:t>In the Spanish market practice, Parties may wish to ensure that the Seller and the Facility / works are insured throughout the construction period and not only after commencement of the Total Supply Period (i.e. following Commissioning).</w:t>
            </w:r>
          </w:p>
          <w:p w14:paraId="0A03306B" w14:textId="77777777" w:rsidR="000F2824" w:rsidRPr="000F2824" w:rsidRDefault="000F2824" w:rsidP="000F2824">
            <w:pPr>
              <w:ind w:left="2"/>
              <w:jc w:val="both"/>
              <w:rPr>
                <w:rFonts w:ascii="Times New Roman" w:hAnsi="Times New Roman"/>
                <w:lang w:val="en-GB"/>
              </w:rPr>
            </w:pPr>
          </w:p>
          <w:p w14:paraId="47C0ABD2"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lastRenderedPageBreak/>
              <w:t>Parties may do so by amending this Section to cover the construction period, or alternatively introducing a separate provision with different policies in Section C.</w:t>
            </w:r>
          </w:p>
        </w:tc>
      </w:tr>
      <w:tr w:rsidR="0017341A" w:rsidRPr="000F2824" w14:paraId="155D4BDD"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7005E" w14:textId="77777777" w:rsidR="0017341A" w:rsidRPr="000F2824" w:rsidRDefault="0017341A" w:rsidP="000F2824">
            <w:pPr>
              <w:ind w:left="142"/>
              <w:jc w:val="both"/>
              <w:rPr>
                <w:rFonts w:ascii="Times New Roman" w:hAnsi="Times New Roman"/>
                <w:lang w:val="en-GB"/>
              </w:rPr>
            </w:pPr>
            <w:r w:rsidRPr="000F2824">
              <w:rPr>
                <w:rFonts w:ascii="Times New Roman" w:hAnsi="Times New Roman"/>
                <w:lang w:val="en-GB"/>
              </w:rPr>
              <w:lastRenderedPageBreak/>
              <w:t>21.2 Exclusion of Liability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5DB01"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Save in respect of certain remedies expressly provided, liability for losses and damages are excluded other than gross negligence, intentional default or fraud.</w:t>
            </w:r>
          </w:p>
          <w:p w14:paraId="540FB2CB" w14:textId="77777777" w:rsidR="0017341A" w:rsidRPr="000F2824" w:rsidRDefault="0017341A" w:rsidP="000F2824">
            <w:pPr>
              <w:ind w:left="2"/>
              <w:jc w:val="both"/>
              <w:rPr>
                <w:rFonts w:ascii="Times New Roman" w:hAnsi="Times New Roman"/>
                <w:lang w:val="en-GB"/>
              </w:rPr>
            </w:pPr>
            <w:r w:rsidRPr="000F2824">
              <w:rPr>
                <w:rStyle w:val="Fuentedeprrafopredeter1"/>
                <w:rFonts w:ascii="Times New Roman" w:hAnsi="Times New Roman"/>
                <w:lang w:val="en-GB"/>
              </w:rPr>
              <w:t xml:space="preserve">This is tantamount to an exclusive remedies provision meaning that in the event of breach of the agreement (e.g. breach of representation and warranty etc), the remedies are limited to those expressly provided for in the PPA (e.g. compensation for failure to deliver, payment of the Termination Amount etc.) </w:t>
            </w:r>
            <w:r w:rsidRPr="000F2824">
              <w:rPr>
                <w:rStyle w:val="Fuentedeprrafopredeter1"/>
                <w:rFonts w:ascii="Times New Roman" w:hAnsi="Times New Roman"/>
                <w:b/>
                <w:i/>
                <w:lang w:val="en-GB"/>
              </w:rPr>
              <w:t>unless</w:t>
            </w:r>
            <w:r w:rsidRPr="000F2824">
              <w:rPr>
                <w:rStyle w:val="Fuentedeprrafopredeter1"/>
                <w:rFonts w:ascii="Times New Roman" w:hAnsi="Times New Roman"/>
                <w:lang w:val="en-GB"/>
              </w:rPr>
              <w:t xml:space="preserve"> the breach resulted from gross negligence, intentional default or fraud.</w:t>
            </w:r>
          </w:p>
          <w:p w14:paraId="794AF248"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Buyers in the Spanish market may wish to change that approach.</w:t>
            </w:r>
          </w:p>
          <w:p w14:paraId="4B3D9A82"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Alternative wording for liability may be drafted in Section C.</w:t>
            </w:r>
          </w:p>
        </w:tc>
      </w:tr>
      <w:tr w:rsidR="0017341A" w:rsidRPr="000F2824" w14:paraId="43E90231"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2092"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t>21.2 Intentional Default, Fraud and Fundamental Rights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BF3E9" w14:textId="1CA0C12C"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It Spanish Law applies, gross negligence </w:t>
            </w:r>
            <w:r w:rsidRPr="000F2824">
              <w:rPr>
                <w:rFonts w:ascii="Times New Roman" w:hAnsi="Times New Roman"/>
                <w:i/>
                <w:lang w:val="en-GB"/>
              </w:rPr>
              <w:t>(negligencia grave)</w:t>
            </w:r>
            <w:r w:rsidRPr="000F2824">
              <w:rPr>
                <w:rFonts w:ascii="Times New Roman" w:hAnsi="Times New Roman"/>
                <w:lang w:val="en-GB"/>
              </w:rPr>
              <w:t xml:space="preserve"> should be included.</w:t>
            </w:r>
            <w:r w:rsidR="000F2824">
              <w:rPr>
                <w:rFonts w:ascii="Times New Roman" w:hAnsi="Times New Roman"/>
                <w:lang w:val="en-GB"/>
              </w:rPr>
              <w:t xml:space="preserve"> </w:t>
            </w:r>
            <w:r w:rsidRPr="000F2824">
              <w:rPr>
                <w:rFonts w:ascii="Times New Roman" w:hAnsi="Times New Roman"/>
                <w:lang w:val="en-GB"/>
              </w:rPr>
              <w:t xml:space="preserve">Parties may include said wording in Section B or C. </w:t>
            </w:r>
          </w:p>
        </w:tc>
      </w:tr>
      <w:tr w:rsidR="0017341A" w:rsidRPr="000F2824" w14:paraId="194A3E68"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5F5C1" w14:textId="77777777" w:rsidR="0017341A" w:rsidRPr="000F2824" w:rsidRDefault="0017341A" w:rsidP="000F2824">
            <w:pPr>
              <w:ind w:left="142" w:right="-643"/>
              <w:jc w:val="both"/>
              <w:rPr>
                <w:rFonts w:ascii="Times New Roman" w:hAnsi="Times New Roman"/>
                <w:lang w:val="en-GB"/>
              </w:rPr>
            </w:pPr>
            <w:r w:rsidRPr="000F2824">
              <w:rPr>
                <w:rFonts w:ascii="Times New Roman" w:hAnsi="Times New Roman"/>
                <w:lang w:val="en-GB"/>
              </w:rPr>
              <w:t>21.6 Indemnity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1D2CA" w14:textId="5E1F74BF" w:rsidR="0017341A" w:rsidRDefault="0017341A" w:rsidP="000F2824">
            <w:pPr>
              <w:ind w:left="2"/>
              <w:jc w:val="both"/>
              <w:rPr>
                <w:rFonts w:ascii="Times New Roman" w:hAnsi="Times New Roman"/>
                <w:lang w:val="en-GB"/>
              </w:rPr>
            </w:pPr>
            <w:r w:rsidRPr="000F2824">
              <w:rPr>
                <w:rFonts w:ascii="Times New Roman" w:hAnsi="Times New Roman"/>
                <w:lang w:val="en-GB"/>
              </w:rPr>
              <w:t>Each Party is obliged to indemnify and hold harmless the other Party for certain liabilities arising from construction or operation of the Facility.</w:t>
            </w:r>
          </w:p>
          <w:p w14:paraId="77CEB354" w14:textId="77777777" w:rsidR="000F2824" w:rsidRPr="000F2824" w:rsidRDefault="000F2824" w:rsidP="000F2824">
            <w:pPr>
              <w:ind w:left="2"/>
              <w:jc w:val="both"/>
              <w:rPr>
                <w:rFonts w:ascii="Times New Roman" w:hAnsi="Times New Roman"/>
                <w:lang w:val="en-GB"/>
              </w:rPr>
            </w:pPr>
          </w:p>
          <w:p w14:paraId="6CCD412D" w14:textId="33CCE96C"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In the Spanish market practice, Buyers may wish to amend this so that the indemnity is only given by the Seller.</w:t>
            </w:r>
            <w:r w:rsidR="000F2824">
              <w:rPr>
                <w:rFonts w:ascii="Times New Roman" w:hAnsi="Times New Roman"/>
                <w:lang w:val="en-GB"/>
              </w:rPr>
              <w:t xml:space="preserve"> </w:t>
            </w:r>
            <w:r w:rsidRPr="000F2824">
              <w:rPr>
                <w:rFonts w:ascii="Times New Roman" w:hAnsi="Times New Roman"/>
                <w:lang w:val="en-GB"/>
              </w:rPr>
              <w:t>Relevant provisions may be incorporated in this regard by the Parties in Section C.</w:t>
            </w:r>
          </w:p>
        </w:tc>
      </w:tr>
      <w:tr w:rsidR="0017341A" w:rsidRPr="000F2824" w14:paraId="15075FDB" w14:textId="77777777" w:rsidTr="00805B54">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D45A" w14:textId="77777777" w:rsidR="0017341A" w:rsidRPr="000F2824" w:rsidRDefault="0017341A" w:rsidP="000F2824">
            <w:pPr>
              <w:ind w:left="2"/>
              <w:jc w:val="both"/>
              <w:rPr>
                <w:rFonts w:ascii="Times New Roman" w:hAnsi="Times New Roman"/>
                <w:b/>
                <w:lang w:val="en-GB"/>
              </w:rPr>
            </w:pPr>
            <w:r w:rsidRPr="000F2824">
              <w:rPr>
                <w:rFonts w:ascii="Times New Roman" w:hAnsi="Times New Roman"/>
                <w:b/>
                <w:lang w:val="en-GB"/>
              </w:rPr>
              <w:t>OTHER ISSUES</w:t>
            </w:r>
          </w:p>
        </w:tc>
      </w:tr>
      <w:tr w:rsidR="0017341A" w:rsidRPr="000F2824" w14:paraId="2221F059"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52242"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t>Operational Performance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854E" w14:textId="77777777" w:rsidR="000F2824" w:rsidRDefault="0017341A" w:rsidP="000F2824">
            <w:pPr>
              <w:ind w:left="2"/>
              <w:jc w:val="both"/>
              <w:rPr>
                <w:rFonts w:ascii="Times New Roman" w:hAnsi="Times New Roman"/>
                <w:lang w:val="en-GB"/>
              </w:rPr>
            </w:pPr>
            <w:r w:rsidRPr="000F2824">
              <w:rPr>
                <w:rFonts w:ascii="Times New Roman" w:hAnsi="Times New Roman"/>
                <w:lang w:val="en-GB"/>
              </w:rPr>
              <w:t>The EFET PPA can be on a “pay-as-produced” basis or on fixed scheduled delivery quantities (i.e. “clips” or forward blocks).</w:t>
            </w:r>
          </w:p>
          <w:p w14:paraId="153025AE" w14:textId="572398CB"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 </w:t>
            </w:r>
          </w:p>
          <w:p w14:paraId="732246AB" w14:textId="016BC7D9" w:rsidR="0017341A" w:rsidRDefault="0017341A" w:rsidP="000F2824">
            <w:pPr>
              <w:ind w:left="2"/>
              <w:jc w:val="both"/>
              <w:rPr>
                <w:rFonts w:ascii="Times New Roman" w:hAnsi="Times New Roman"/>
                <w:lang w:val="en-GB"/>
              </w:rPr>
            </w:pPr>
            <w:r w:rsidRPr="000F2824">
              <w:rPr>
                <w:rFonts w:ascii="Times New Roman" w:hAnsi="Times New Roman"/>
                <w:lang w:val="en-GB"/>
              </w:rPr>
              <w:t>In respect of pay-as-produced, it is frequent in the Spanish market practice to include specified requirements for operational performance of the Facility – e.g. minimum annual availability levels or minimum annual production volumes etc.</w:t>
            </w:r>
          </w:p>
          <w:p w14:paraId="1EDE8063" w14:textId="77777777" w:rsidR="000F2824" w:rsidRPr="000F2824" w:rsidRDefault="000F2824" w:rsidP="000F2824">
            <w:pPr>
              <w:ind w:left="2"/>
              <w:jc w:val="both"/>
              <w:rPr>
                <w:rFonts w:ascii="Times New Roman" w:hAnsi="Times New Roman"/>
                <w:lang w:val="en-GB"/>
              </w:rPr>
            </w:pPr>
          </w:p>
          <w:p w14:paraId="04FE12C0"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Relevant provisions may be incorporated in this regard by the Parties in Section C.</w:t>
            </w:r>
          </w:p>
        </w:tc>
      </w:tr>
      <w:tr w:rsidR="0017341A" w:rsidRPr="000F2824" w14:paraId="1B514611"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E3A56" w14:textId="77777777" w:rsidR="0017341A" w:rsidRPr="000F2824" w:rsidRDefault="0017341A" w:rsidP="000F2824">
            <w:pPr>
              <w:ind w:left="142"/>
              <w:jc w:val="both"/>
              <w:rPr>
                <w:rFonts w:ascii="Times New Roman" w:hAnsi="Times New Roman"/>
                <w:lang w:val="en-GB"/>
              </w:rPr>
            </w:pPr>
            <w:r w:rsidRPr="000F2824">
              <w:rPr>
                <w:rFonts w:ascii="Times New Roman" w:hAnsi="Times New Roman"/>
                <w:lang w:val="en-GB"/>
              </w:rPr>
              <w:t>Negative Price Periods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0AAF7" w14:textId="592B6F1C"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In the Spanish market practice, Buyers may seek to place restrictions or limits on paying for negatively priced electricity where wholesale market prices are negative – as may Sellers if an electricity reference price is used.</w:t>
            </w:r>
          </w:p>
          <w:p w14:paraId="350BA8A3"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Relevant provisions may be incorporated in this regard by the Parties in Section C.</w:t>
            </w:r>
          </w:p>
        </w:tc>
      </w:tr>
      <w:tr w:rsidR="0017341A" w:rsidRPr="000F2824" w14:paraId="41DF86D9"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AD48" w14:textId="77777777" w:rsidR="0017341A" w:rsidRPr="000F2824" w:rsidRDefault="0017341A" w:rsidP="000F2824">
            <w:pPr>
              <w:ind w:left="142"/>
              <w:jc w:val="both"/>
              <w:rPr>
                <w:rFonts w:ascii="Times New Roman" w:hAnsi="Times New Roman"/>
                <w:lang w:val="en-GB"/>
              </w:rPr>
            </w:pPr>
            <w:r w:rsidRPr="000F2824">
              <w:rPr>
                <w:rFonts w:ascii="Times New Roman" w:hAnsi="Times New Roman"/>
                <w:lang w:val="en-GB"/>
              </w:rPr>
              <w:t>Environmental Attributes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51FC" w14:textId="58F0246A" w:rsidR="0017341A" w:rsidRDefault="0017341A" w:rsidP="000F2824">
            <w:pPr>
              <w:ind w:left="2"/>
              <w:jc w:val="both"/>
              <w:rPr>
                <w:rFonts w:ascii="Times New Roman" w:hAnsi="Times New Roman"/>
                <w:lang w:val="en-GB"/>
              </w:rPr>
            </w:pPr>
            <w:r w:rsidRPr="000F2824">
              <w:rPr>
                <w:rFonts w:ascii="Times New Roman" w:hAnsi="Times New Roman"/>
                <w:lang w:val="en-GB"/>
              </w:rPr>
              <w:t>In the Spanish market practice,  Parties might want to deal, in addition to EECS Certificates and National Schemes Certificates, with any other environmental attributes or benefits which may be available in respect of the Facility and the Metered Output at the time the agreement is entered into or may subsequently become available in the future.</w:t>
            </w:r>
          </w:p>
          <w:p w14:paraId="0FB1E2AC" w14:textId="77777777" w:rsidR="000F2824" w:rsidRPr="000F2824" w:rsidRDefault="000F2824" w:rsidP="000F2824">
            <w:pPr>
              <w:ind w:left="2"/>
              <w:jc w:val="both"/>
              <w:rPr>
                <w:rFonts w:ascii="Times New Roman" w:hAnsi="Times New Roman"/>
                <w:lang w:val="en-GB"/>
              </w:rPr>
            </w:pPr>
          </w:p>
          <w:p w14:paraId="294B1E8B"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Parties may customise this in Section B.</w:t>
            </w:r>
          </w:p>
        </w:tc>
      </w:tr>
      <w:tr w:rsidR="0017341A" w:rsidRPr="000F2824" w14:paraId="7933947D"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1032" w14:textId="77777777" w:rsidR="0017341A" w:rsidRPr="000F2824" w:rsidRDefault="0017341A" w:rsidP="000F2824">
            <w:pPr>
              <w:ind w:left="142"/>
              <w:jc w:val="both"/>
              <w:rPr>
                <w:rFonts w:ascii="Times New Roman" w:hAnsi="Times New Roman"/>
                <w:lang w:val="en-GB"/>
              </w:rPr>
            </w:pPr>
            <w:r w:rsidRPr="000F2824">
              <w:rPr>
                <w:rFonts w:ascii="Times New Roman" w:hAnsi="Times New Roman"/>
                <w:lang w:val="en-GB"/>
              </w:rPr>
              <w:t>Market Representation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B0E13"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If physical delivery is selected, it would be necessary to include a reference to a Market Representation and </w:t>
            </w:r>
            <w:proofErr w:type="gramStart"/>
            <w:r w:rsidRPr="000F2824">
              <w:rPr>
                <w:rFonts w:ascii="Times New Roman" w:hAnsi="Times New Roman"/>
                <w:lang w:val="en-GB"/>
              </w:rPr>
              <w:t>Services A</w:t>
            </w:r>
            <w:bookmarkStart w:id="0" w:name="_GoBack"/>
            <w:bookmarkEnd w:id="0"/>
            <w:r w:rsidRPr="000F2824">
              <w:rPr>
                <w:rFonts w:ascii="Times New Roman" w:hAnsi="Times New Roman"/>
                <w:lang w:val="en-GB"/>
              </w:rPr>
              <w:t>greement, and</w:t>
            </w:r>
            <w:proofErr w:type="gramEnd"/>
            <w:r w:rsidRPr="000F2824">
              <w:rPr>
                <w:rFonts w:ascii="Times New Roman" w:hAnsi="Times New Roman"/>
                <w:lang w:val="en-GB"/>
              </w:rPr>
              <w:t xml:space="preserve"> include a brief outline of representation and services that will be provided thereunder.</w:t>
            </w:r>
          </w:p>
          <w:p w14:paraId="44A7ECC8"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Relevant obligations and reference provisions may be incorporated in this regard by the Parties in Section C.</w:t>
            </w:r>
          </w:p>
        </w:tc>
      </w:tr>
      <w:tr w:rsidR="0017341A" w:rsidRPr="000F2824" w14:paraId="37F0DEAF"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6576" w14:textId="77777777" w:rsidR="0017341A" w:rsidRPr="000F2824" w:rsidRDefault="0017341A" w:rsidP="000F2824">
            <w:pPr>
              <w:ind w:left="142"/>
              <w:jc w:val="both"/>
              <w:rPr>
                <w:rFonts w:ascii="Times New Roman" w:hAnsi="Times New Roman"/>
                <w:lang w:val="en-GB"/>
              </w:rPr>
            </w:pPr>
            <w:r w:rsidRPr="000F2824">
              <w:rPr>
                <w:rFonts w:ascii="Times New Roman" w:hAnsi="Times New Roman"/>
                <w:lang w:val="en-GB"/>
              </w:rPr>
              <w:t>Financial instrument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548FE" w14:textId="6B5C212E"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 xml:space="preserve">Conversely, if financial settlement is selected, or if physical delivery is selected (but the Agreement includes features or structures -floors, collar etc- which could be seen as embedded </w:t>
            </w:r>
            <w:r w:rsidRPr="000F2824">
              <w:rPr>
                <w:rFonts w:ascii="Times New Roman" w:hAnsi="Times New Roman"/>
                <w:lang w:val="en-GB"/>
              </w:rPr>
              <w:lastRenderedPageBreak/>
              <w:t>financial instruments), comfort should be obtained as to regulatory capacity to enter into the Agreement from Seller’s or Buyer’s perspective (as the case may be), as well as to compliance with relevant laws</w:t>
            </w:r>
            <w:r w:rsidR="000F2824">
              <w:rPr>
                <w:rFonts w:ascii="Times New Roman" w:hAnsi="Times New Roman"/>
                <w:lang w:val="en-GB"/>
              </w:rPr>
              <w:t>.</w:t>
            </w:r>
          </w:p>
          <w:p w14:paraId="509086CF" w14:textId="77777777" w:rsidR="000F2824" w:rsidRDefault="000F2824" w:rsidP="000F2824">
            <w:pPr>
              <w:ind w:left="2"/>
              <w:jc w:val="both"/>
              <w:rPr>
                <w:rFonts w:ascii="Times New Roman" w:hAnsi="Times New Roman"/>
                <w:lang w:val="en-GB"/>
              </w:rPr>
            </w:pPr>
          </w:p>
          <w:p w14:paraId="6A0E0C0B" w14:textId="4871CB49"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Relevant obligations and reference provisions may be incorporated in this regard by the Parties in Section C.</w:t>
            </w:r>
          </w:p>
        </w:tc>
      </w:tr>
      <w:tr w:rsidR="0017341A" w:rsidRPr="000F2824" w14:paraId="260ADA6F"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BAD80" w14:textId="77777777" w:rsidR="0017341A" w:rsidRPr="000F2824" w:rsidRDefault="0017341A" w:rsidP="000F2824">
            <w:pPr>
              <w:ind w:left="142" w:right="27"/>
              <w:jc w:val="both"/>
              <w:rPr>
                <w:rFonts w:ascii="Times New Roman" w:hAnsi="Times New Roman"/>
                <w:lang w:val="en-GB"/>
              </w:rPr>
            </w:pPr>
            <w:r w:rsidRPr="000F2824">
              <w:rPr>
                <w:rFonts w:ascii="Times New Roman" w:hAnsi="Times New Roman"/>
                <w:lang w:val="en-GB"/>
              </w:rPr>
              <w:lastRenderedPageBreak/>
              <w:t xml:space="preserve">REMIT, EMIR, Market Abuse Regulation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DDBF" w14:textId="0B224964" w:rsidR="0017341A" w:rsidRDefault="0017341A" w:rsidP="000F2824">
            <w:pPr>
              <w:ind w:left="2"/>
              <w:jc w:val="both"/>
              <w:rPr>
                <w:rFonts w:ascii="Times New Roman" w:hAnsi="Times New Roman"/>
                <w:lang w:val="en-GB"/>
              </w:rPr>
            </w:pPr>
            <w:r w:rsidRPr="000F2824">
              <w:rPr>
                <w:rFonts w:ascii="Times New Roman" w:hAnsi="Times New Roman"/>
                <w:lang w:val="en-GB"/>
              </w:rPr>
              <w:t xml:space="preserve">In the Spanish market practice, it is </w:t>
            </w:r>
            <w:r w:rsidR="000F2824">
              <w:rPr>
                <w:rFonts w:ascii="Times New Roman" w:hAnsi="Times New Roman"/>
                <w:lang w:val="en-GB"/>
              </w:rPr>
              <w:t xml:space="preserve">common </w:t>
            </w:r>
            <w:r w:rsidRPr="000F2824">
              <w:rPr>
                <w:rFonts w:ascii="Times New Roman" w:hAnsi="Times New Roman"/>
                <w:lang w:val="en-GB"/>
              </w:rPr>
              <w:t>to include provisions dealing with financial regulation of commodity and derivative trading such as REMIT (in case of physical), EMIR and MAR. This will be particularly relevant in circumstances where financial settlement is selected rather than physical delivery.</w:t>
            </w:r>
          </w:p>
          <w:p w14:paraId="3D663D32" w14:textId="77777777" w:rsidR="000F2824" w:rsidRPr="000F2824" w:rsidRDefault="000F2824" w:rsidP="000F2824">
            <w:pPr>
              <w:ind w:left="2"/>
              <w:jc w:val="both"/>
              <w:rPr>
                <w:rFonts w:ascii="Times New Roman" w:hAnsi="Times New Roman"/>
                <w:lang w:val="en-GB"/>
              </w:rPr>
            </w:pPr>
          </w:p>
          <w:p w14:paraId="50569E7C" w14:textId="77777777" w:rsidR="0017341A" w:rsidRPr="000F2824" w:rsidRDefault="0017341A" w:rsidP="000F2824">
            <w:pPr>
              <w:ind w:left="2"/>
              <w:jc w:val="both"/>
              <w:rPr>
                <w:rFonts w:ascii="Times New Roman" w:hAnsi="Times New Roman"/>
                <w:lang w:val="en-GB"/>
              </w:rPr>
            </w:pPr>
            <w:r w:rsidRPr="000F2824">
              <w:rPr>
                <w:rFonts w:ascii="Times New Roman" w:hAnsi="Times New Roman"/>
                <w:lang w:val="en-GB"/>
              </w:rPr>
              <w:t>Parties may therefore wish to incorporate the relevant provisions in Section C.</w:t>
            </w:r>
          </w:p>
        </w:tc>
      </w:tr>
      <w:tr w:rsidR="0017341A" w:rsidRPr="000F2824" w14:paraId="4B31B254" w14:textId="77777777" w:rsidTr="00805B54">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A9092" w14:textId="77777777" w:rsidR="0017341A" w:rsidRPr="000F2824" w:rsidRDefault="0017341A" w:rsidP="000F2824">
            <w:pPr>
              <w:ind w:left="142"/>
              <w:jc w:val="both"/>
              <w:rPr>
                <w:rFonts w:ascii="Times New Roman" w:hAnsi="Times New Roman"/>
                <w:lang w:val="en-GB"/>
              </w:rPr>
            </w:pPr>
            <w:r w:rsidRPr="000F2824">
              <w:rPr>
                <w:rFonts w:ascii="Times New Roman" w:hAnsi="Times New Roman"/>
                <w:lang w:val="en-GB"/>
              </w:rPr>
              <w:t>Direct Agreement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8E603" w14:textId="019A4A56" w:rsidR="0017341A" w:rsidRDefault="0017341A" w:rsidP="000F2824">
            <w:pPr>
              <w:ind w:left="2"/>
              <w:jc w:val="both"/>
              <w:rPr>
                <w:rFonts w:ascii="Times New Roman" w:hAnsi="Times New Roman"/>
                <w:lang w:val="en-GB"/>
              </w:rPr>
            </w:pPr>
            <w:r w:rsidRPr="000F2824">
              <w:rPr>
                <w:rFonts w:ascii="Times New Roman" w:hAnsi="Times New Roman"/>
                <w:lang w:val="en-GB"/>
              </w:rPr>
              <w:t>In the Spanish market practice, it is frequent that a Direct Agreement is entered into in connection with the PPA, providing for cure periods, step-in rights etc.</w:t>
            </w:r>
          </w:p>
          <w:p w14:paraId="2A906C5F" w14:textId="77777777" w:rsidR="000F2824" w:rsidRPr="000F2824" w:rsidRDefault="000F2824" w:rsidP="000F2824">
            <w:pPr>
              <w:ind w:left="2"/>
              <w:jc w:val="both"/>
              <w:rPr>
                <w:rFonts w:ascii="Times New Roman" w:hAnsi="Times New Roman"/>
                <w:lang w:val="en-GB"/>
              </w:rPr>
            </w:pPr>
          </w:p>
          <w:p w14:paraId="19DCEB0B" w14:textId="77777777" w:rsidR="0017341A" w:rsidRPr="000F2824" w:rsidRDefault="0017341A" w:rsidP="000F2824">
            <w:pPr>
              <w:ind w:left="2"/>
              <w:jc w:val="both"/>
              <w:rPr>
                <w:rFonts w:ascii="Times New Roman" w:hAnsi="Times New Roman"/>
                <w:i/>
                <w:lang w:val="en-GB"/>
              </w:rPr>
            </w:pPr>
            <w:r w:rsidRPr="000F2824">
              <w:rPr>
                <w:rFonts w:ascii="Times New Roman" w:hAnsi="Times New Roman"/>
                <w:lang w:val="en-GB"/>
              </w:rPr>
              <w:t xml:space="preserve">Parties may therefore wish to append on an individual basis a Direct Agreement to the PPA and incorporate subject to appropriate references in Section C. </w:t>
            </w:r>
          </w:p>
        </w:tc>
      </w:tr>
    </w:tbl>
    <w:p w14:paraId="4C93163C" w14:textId="77777777" w:rsidR="0017341A" w:rsidRPr="000F2824" w:rsidRDefault="0017341A" w:rsidP="000F2824">
      <w:pPr>
        <w:jc w:val="both"/>
        <w:rPr>
          <w:rFonts w:ascii="Times New Roman" w:hAnsi="Times New Roman"/>
          <w:lang w:val="en-GB"/>
        </w:rPr>
      </w:pPr>
    </w:p>
    <w:p w14:paraId="41C8CDD8" w14:textId="77777777" w:rsidR="0017341A" w:rsidRPr="000F2824" w:rsidRDefault="0017341A" w:rsidP="000F2824">
      <w:pPr>
        <w:jc w:val="both"/>
        <w:rPr>
          <w:rFonts w:ascii="Times New Roman" w:hAnsi="Times New Roman"/>
          <w:lang w:val="en-GB"/>
        </w:rPr>
      </w:pPr>
    </w:p>
    <w:p w14:paraId="3E66CC35" w14:textId="6C748C16" w:rsidR="00B55F5E" w:rsidRDefault="000F2824" w:rsidP="000F2824">
      <w:pPr>
        <w:jc w:val="both"/>
        <w:rPr>
          <w:rFonts w:ascii="Times New Roman" w:hAnsi="Times New Roman"/>
          <w:lang w:val="en-GB"/>
        </w:rPr>
      </w:pPr>
      <w:r>
        <w:rPr>
          <w:rFonts w:ascii="Times New Roman" w:hAnsi="Times New Roman"/>
          <w:lang w:val="en-GB"/>
        </w:rPr>
        <w:t>Status: 28 January 2020</w:t>
      </w:r>
    </w:p>
    <w:p w14:paraId="4E2F20F7" w14:textId="41925A6F" w:rsidR="000F2824" w:rsidRPr="000F2824" w:rsidRDefault="000F2824" w:rsidP="000F2824">
      <w:pPr>
        <w:jc w:val="both"/>
        <w:rPr>
          <w:rFonts w:ascii="Times New Roman" w:hAnsi="Times New Roman"/>
          <w:lang w:val="en-GB"/>
        </w:rPr>
      </w:pPr>
      <w:r>
        <w:rPr>
          <w:rFonts w:ascii="Times New Roman" w:hAnsi="Times New Roman"/>
          <w:lang w:val="en-GB"/>
        </w:rPr>
        <w:t xml:space="preserve">Contact: </w:t>
      </w:r>
      <w:hyperlink r:id="rId12" w:history="1">
        <w:r w:rsidRPr="000A6A75">
          <w:rPr>
            <w:rStyle w:val="Hyperlink"/>
            <w:rFonts w:ascii="Times New Roman" w:hAnsi="Times New Roman"/>
            <w:lang w:val="en-GB"/>
          </w:rPr>
          <w:t>secretariat@efet.org</w:t>
        </w:r>
      </w:hyperlink>
      <w:r>
        <w:rPr>
          <w:rFonts w:ascii="Times New Roman" w:hAnsi="Times New Roman"/>
          <w:lang w:val="en-GB"/>
        </w:rPr>
        <w:t xml:space="preserve"> </w:t>
      </w:r>
    </w:p>
    <w:sectPr w:rsidR="000F2824" w:rsidRPr="000F2824" w:rsidSect="00BE2023">
      <w:headerReference w:type="default" r:id="rId13"/>
      <w:footerReference w:type="even" r:id="rId14"/>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64E2" w14:textId="77777777" w:rsidR="00A81726" w:rsidRDefault="00A81726">
      <w:r>
        <w:separator/>
      </w:r>
    </w:p>
  </w:endnote>
  <w:endnote w:type="continuationSeparator" w:id="0">
    <w:p w14:paraId="677DE203" w14:textId="77777777" w:rsidR="00A81726" w:rsidRDefault="00A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3DA0" w14:textId="77777777" w:rsidR="003269CC" w:rsidRDefault="003269CC" w:rsidP="00BC7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D6DA1D" w14:textId="77777777" w:rsidR="003269CC" w:rsidRDefault="0032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BD5D" w14:textId="52C04B71" w:rsidR="003269CC" w:rsidRDefault="003269CC" w:rsidP="005F4C11">
    <w:pPr>
      <w:pStyle w:val="Footer"/>
      <w:pBdr>
        <w:top w:val="single" w:sz="4" w:space="1" w:color="D9D9D9"/>
      </w:pBdr>
      <w:jc w:val="right"/>
    </w:pPr>
    <w:r>
      <w:fldChar w:fldCharType="begin"/>
    </w:r>
    <w:r>
      <w:instrText xml:space="preserve"> PAGE   \* MERGEFORMAT </w:instrText>
    </w:r>
    <w:r>
      <w:fldChar w:fldCharType="separate"/>
    </w:r>
    <w:r w:rsidR="00C85C59">
      <w:rPr>
        <w:noProof/>
      </w:rPr>
      <w:t>1</w:t>
    </w:r>
    <w:r>
      <w:rPr>
        <w:noProof/>
      </w:rPr>
      <w:fldChar w:fldCharType="end"/>
    </w:r>
    <w:r>
      <w:t xml:space="preserve"> | </w:t>
    </w:r>
    <w:r w:rsidRPr="005F4C11">
      <w:rPr>
        <w:color w:val="7F7F7F"/>
        <w:spacing w:val="60"/>
      </w:rPr>
      <w:t>Page</w:t>
    </w:r>
  </w:p>
  <w:p w14:paraId="4F56496A" w14:textId="77777777" w:rsidR="003269CC" w:rsidRDefault="003269CC" w:rsidP="005F4C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89BA" w14:textId="77777777" w:rsidR="00A81726" w:rsidRDefault="00A81726">
      <w:r>
        <w:separator/>
      </w:r>
    </w:p>
  </w:footnote>
  <w:footnote w:type="continuationSeparator" w:id="0">
    <w:p w14:paraId="038620F5" w14:textId="77777777" w:rsidR="00A81726" w:rsidRDefault="00A81726">
      <w:r>
        <w:continuationSeparator/>
      </w:r>
    </w:p>
  </w:footnote>
  <w:footnote w:id="1">
    <w:p w14:paraId="4F8DAD56" w14:textId="77777777" w:rsidR="0017341A" w:rsidRDefault="0017341A" w:rsidP="0017341A">
      <w:pPr>
        <w:pStyle w:val="FootnoteText"/>
      </w:pPr>
      <w:r>
        <w:rPr>
          <w:rStyle w:val="FootnoteReference"/>
        </w:rPr>
        <w:footnoteRef/>
      </w:r>
      <w:r>
        <w:t xml:space="preserve"> </w:t>
      </w:r>
      <w:r w:rsidRPr="000F2824">
        <w:rPr>
          <w:sz w:val="14"/>
          <w:szCs w:val="14"/>
        </w:rPr>
        <w:t>https://www.agenciatributaria.es/AEAT.internet/Inicio/La_Agencia_Tributaria/Aduanas_e_Impuestos_Especiales/_Presentacion/Impuestos_medioambientales/_IMPUESTOS/Impuesto_sobre_el_valor_de_la_produccion_de_la_energia_electrica/_INFORMACION/_Informacion_general_/_Informacion_general_.shtml</w:t>
      </w:r>
      <w:r w:rsidRPr="000F2824">
        <w:rPr>
          <w:sz w:val="14"/>
          <w:szCs w:val="14"/>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D98C9" w14:textId="776B8536" w:rsidR="003269CC" w:rsidRDefault="003269CC">
    <w:pPr>
      <w:pStyle w:val="Header"/>
    </w:pPr>
    <w:r>
      <w:rPr>
        <w:noProof/>
        <w:lang w:val="en-GB" w:eastAsia="en-GB"/>
      </w:rPr>
      <w:drawing>
        <wp:inline distT="0" distB="0" distL="0" distR="0" wp14:anchorId="50562934" wp14:editId="14778E61">
          <wp:extent cx="1762125" cy="253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ET_2-width-250.png"/>
                  <pic:cNvPicPr/>
                </pic:nvPicPr>
                <pic:blipFill>
                  <a:blip r:embed="rId1">
                    <a:extLst>
                      <a:ext uri="{28A0092B-C50C-407E-A947-70E740481C1C}">
                        <a14:useLocalDpi xmlns:a14="http://schemas.microsoft.com/office/drawing/2010/main" val="0"/>
                      </a:ext>
                    </a:extLst>
                  </a:blip>
                  <a:stretch>
                    <a:fillRect/>
                  </a:stretch>
                </pic:blipFill>
                <pic:spPr>
                  <a:xfrm>
                    <a:off x="0" y="0"/>
                    <a:ext cx="1787496" cy="257399"/>
                  </a:xfrm>
                  <a:prstGeom prst="rect">
                    <a:avLst/>
                  </a:prstGeom>
                </pic:spPr>
              </pic:pic>
            </a:graphicData>
          </a:graphic>
        </wp:inline>
      </w:drawing>
    </w:r>
  </w:p>
  <w:p w14:paraId="72E25E2D" w14:textId="77777777" w:rsidR="00542BFF" w:rsidRDefault="00542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42C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5638D"/>
    <w:multiLevelType w:val="hybridMultilevel"/>
    <w:tmpl w:val="BEC64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3480A"/>
    <w:multiLevelType w:val="hybridMultilevel"/>
    <w:tmpl w:val="C0620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90818"/>
    <w:multiLevelType w:val="hybridMultilevel"/>
    <w:tmpl w:val="8828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C24BB"/>
    <w:multiLevelType w:val="hybridMultilevel"/>
    <w:tmpl w:val="F0626A08"/>
    <w:lvl w:ilvl="0" w:tplc="8E747918">
      <w:start w:val="15"/>
      <w:numFmt w:val="bullet"/>
      <w:lvlText w:val="-"/>
      <w:lvlJc w:val="left"/>
      <w:pPr>
        <w:ind w:left="362" w:hanging="360"/>
      </w:pPr>
      <w:rPr>
        <w:rFonts w:ascii="Times New Roman" w:eastAsia="Times New Roman" w:hAnsi="Times New Roman" w:cs="Times New Roman" w:hint="default"/>
      </w:rPr>
    </w:lvl>
    <w:lvl w:ilvl="1" w:tplc="0C0A0003" w:tentative="1">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abstractNum w:abstractNumId="5" w15:restartNumberingAfterBreak="0">
    <w:nsid w:val="440E1939"/>
    <w:multiLevelType w:val="multilevel"/>
    <w:tmpl w:val="A470D8F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A6"/>
    <w:rsid w:val="00046562"/>
    <w:rsid w:val="0005144A"/>
    <w:rsid w:val="00054B9A"/>
    <w:rsid w:val="00086CD7"/>
    <w:rsid w:val="000A0A60"/>
    <w:rsid w:val="000C57D4"/>
    <w:rsid w:val="000D044A"/>
    <w:rsid w:val="000F2824"/>
    <w:rsid w:val="000F770A"/>
    <w:rsid w:val="00123500"/>
    <w:rsid w:val="00123653"/>
    <w:rsid w:val="00124347"/>
    <w:rsid w:val="0012611F"/>
    <w:rsid w:val="00127370"/>
    <w:rsid w:val="0017341A"/>
    <w:rsid w:val="001A7DD0"/>
    <w:rsid w:val="001D7D21"/>
    <w:rsid w:val="001F3A6C"/>
    <w:rsid w:val="00201BE5"/>
    <w:rsid w:val="0021001E"/>
    <w:rsid w:val="00222778"/>
    <w:rsid w:val="00267D5F"/>
    <w:rsid w:val="002A2C97"/>
    <w:rsid w:val="002A4FB0"/>
    <w:rsid w:val="00316728"/>
    <w:rsid w:val="003269CC"/>
    <w:rsid w:val="003325C7"/>
    <w:rsid w:val="00340134"/>
    <w:rsid w:val="00347767"/>
    <w:rsid w:val="00350023"/>
    <w:rsid w:val="0035614E"/>
    <w:rsid w:val="0035786F"/>
    <w:rsid w:val="00357D76"/>
    <w:rsid w:val="0037456B"/>
    <w:rsid w:val="0039533D"/>
    <w:rsid w:val="003B30B6"/>
    <w:rsid w:val="003B7F61"/>
    <w:rsid w:val="003D1E8D"/>
    <w:rsid w:val="003E75ED"/>
    <w:rsid w:val="004152DA"/>
    <w:rsid w:val="00430697"/>
    <w:rsid w:val="00435F2F"/>
    <w:rsid w:val="00454327"/>
    <w:rsid w:val="00463811"/>
    <w:rsid w:val="00473726"/>
    <w:rsid w:val="004B3566"/>
    <w:rsid w:val="004B5BE5"/>
    <w:rsid w:val="004B6A52"/>
    <w:rsid w:val="004C532C"/>
    <w:rsid w:val="004F5494"/>
    <w:rsid w:val="00542BFF"/>
    <w:rsid w:val="00574437"/>
    <w:rsid w:val="005839B3"/>
    <w:rsid w:val="005A08A8"/>
    <w:rsid w:val="005A6872"/>
    <w:rsid w:val="005F4C11"/>
    <w:rsid w:val="005F6803"/>
    <w:rsid w:val="00665D26"/>
    <w:rsid w:val="0068332A"/>
    <w:rsid w:val="00686215"/>
    <w:rsid w:val="0068682B"/>
    <w:rsid w:val="006965B3"/>
    <w:rsid w:val="006C280D"/>
    <w:rsid w:val="006D525B"/>
    <w:rsid w:val="00700067"/>
    <w:rsid w:val="00726CBB"/>
    <w:rsid w:val="00734584"/>
    <w:rsid w:val="007443E2"/>
    <w:rsid w:val="007A62B4"/>
    <w:rsid w:val="007C7199"/>
    <w:rsid w:val="007D3A6E"/>
    <w:rsid w:val="007E08CD"/>
    <w:rsid w:val="007E39A5"/>
    <w:rsid w:val="00810EBE"/>
    <w:rsid w:val="008350E4"/>
    <w:rsid w:val="008402F0"/>
    <w:rsid w:val="00850C7E"/>
    <w:rsid w:val="008526B6"/>
    <w:rsid w:val="00870E21"/>
    <w:rsid w:val="00876FF3"/>
    <w:rsid w:val="008B0109"/>
    <w:rsid w:val="008B7460"/>
    <w:rsid w:val="008E1ED8"/>
    <w:rsid w:val="0090098F"/>
    <w:rsid w:val="009116AC"/>
    <w:rsid w:val="00954B57"/>
    <w:rsid w:val="00967CD7"/>
    <w:rsid w:val="00987842"/>
    <w:rsid w:val="009C390E"/>
    <w:rsid w:val="009E1E8B"/>
    <w:rsid w:val="009E6ABA"/>
    <w:rsid w:val="009F2345"/>
    <w:rsid w:val="009F37F5"/>
    <w:rsid w:val="00A01EEA"/>
    <w:rsid w:val="00A22C40"/>
    <w:rsid w:val="00A2694D"/>
    <w:rsid w:val="00A34303"/>
    <w:rsid w:val="00A567EE"/>
    <w:rsid w:val="00A63705"/>
    <w:rsid w:val="00A81726"/>
    <w:rsid w:val="00AC45D7"/>
    <w:rsid w:val="00AF2CD2"/>
    <w:rsid w:val="00AF466D"/>
    <w:rsid w:val="00B17799"/>
    <w:rsid w:val="00B250FD"/>
    <w:rsid w:val="00B31EB0"/>
    <w:rsid w:val="00B377F2"/>
    <w:rsid w:val="00B55F5E"/>
    <w:rsid w:val="00B7523A"/>
    <w:rsid w:val="00B75FAE"/>
    <w:rsid w:val="00B9646B"/>
    <w:rsid w:val="00BC79A6"/>
    <w:rsid w:val="00BD3CA6"/>
    <w:rsid w:val="00BE2023"/>
    <w:rsid w:val="00BE6656"/>
    <w:rsid w:val="00C15187"/>
    <w:rsid w:val="00C258EA"/>
    <w:rsid w:val="00C41341"/>
    <w:rsid w:val="00C5002E"/>
    <w:rsid w:val="00C63F56"/>
    <w:rsid w:val="00C80583"/>
    <w:rsid w:val="00C85C59"/>
    <w:rsid w:val="00C91B4C"/>
    <w:rsid w:val="00C9458D"/>
    <w:rsid w:val="00CD1DCE"/>
    <w:rsid w:val="00D04A36"/>
    <w:rsid w:val="00D53A30"/>
    <w:rsid w:val="00DC0B0B"/>
    <w:rsid w:val="00DC1C2E"/>
    <w:rsid w:val="00DD2CB7"/>
    <w:rsid w:val="00DE1A3A"/>
    <w:rsid w:val="00DE3B60"/>
    <w:rsid w:val="00DF5E5C"/>
    <w:rsid w:val="00E430B8"/>
    <w:rsid w:val="00E46D11"/>
    <w:rsid w:val="00E47362"/>
    <w:rsid w:val="00E77D40"/>
    <w:rsid w:val="00E93401"/>
    <w:rsid w:val="00EA6A2B"/>
    <w:rsid w:val="00EB33E5"/>
    <w:rsid w:val="00EC1B3A"/>
    <w:rsid w:val="00EC5BE2"/>
    <w:rsid w:val="00EF578B"/>
    <w:rsid w:val="00F23C2D"/>
    <w:rsid w:val="00F32406"/>
    <w:rsid w:val="00F51D7D"/>
    <w:rsid w:val="00F90C5E"/>
    <w:rsid w:val="00FB3E8B"/>
    <w:rsid w:val="00FB617F"/>
    <w:rsid w:val="00FC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164EB"/>
  <w15:chartTrackingRefBased/>
  <w15:docId w15:val="{4FAC9951-35D6-4196-9663-84D5BDE7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144A"/>
    <w:rPr>
      <w:rFonts w:ascii="Arial" w:hAnsi="Arial"/>
      <w:lang w:val="fr-FR" w:eastAsia="en-US"/>
    </w:rPr>
  </w:style>
  <w:style w:type="paragraph" w:styleId="Heading1">
    <w:name w:val="heading 1"/>
    <w:basedOn w:val="Normal"/>
    <w:next w:val="Normal"/>
    <w:qFormat/>
    <w:rsid w:val="0005144A"/>
    <w:pPr>
      <w:keepNext/>
      <w:outlineLvl w:val="0"/>
    </w:pPr>
    <w:rPr>
      <w:b/>
      <w:bCs/>
      <w:lang w:val="en-GB"/>
    </w:rPr>
  </w:style>
  <w:style w:type="paragraph" w:styleId="Heading3">
    <w:name w:val="heading 3"/>
    <w:basedOn w:val="Normal"/>
    <w:next w:val="Normal"/>
    <w:qFormat/>
    <w:rsid w:val="0005144A"/>
    <w:pPr>
      <w:keepNext/>
      <w:spacing w:before="240" w:after="60"/>
      <w:outlineLvl w:val="2"/>
    </w:pPr>
    <w:rPr>
      <w:rFonts w:cs="Arial"/>
      <w:b/>
      <w:bCs/>
      <w:sz w:val="26"/>
      <w:szCs w:val="26"/>
    </w:rPr>
  </w:style>
  <w:style w:type="paragraph" w:styleId="Heading4">
    <w:name w:val="heading 4"/>
    <w:basedOn w:val="Normal"/>
    <w:next w:val="Normal"/>
    <w:qFormat/>
    <w:rsid w:val="0005144A"/>
    <w:pPr>
      <w:keepNext/>
      <w:outlineLvl w:val="3"/>
    </w:pPr>
    <w:rPr>
      <w:rFonts w:cs="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CA6"/>
    <w:pPr>
      <w:tabs>
        <w:tab w:val="center" w:pos="4536"/>
        <w:tab w:val="right" w:pos="9072"/>
      </w:tabs>
    </w:pPr>
  </w:style>
  <w:style w:type="paragraph" w:styleId="Footer">
    <w:name w:val="footer"/>
    <w:basedOn w:val="Normal"/>
    <w:link w:val="FooterChar"/>
    <w:uiPriority w:val="99"/>
    <w:rsid w:val="00BD3CA6"/>
    <w:pPr>
      <w:tabs>
        <w:tab w:val="center" w:pos="4536"/>
        <w:tab w:val="right" w:pos="9072"/>
      </w:tabs>
    </w:pPr>
  </w:style>
  <w:style w:type="paragraph" w:styleId="FootnoteText">
    <w:name w:val="footnote text"/>
    <w:basedOn w:val="Normal"/>
    <w:link w:val="FootnoteTextChar"/>
    <w:uiPriority w:val="99"/>
    <w:semiHidden/>
    <w:rsid w:val="0005144A"/>
  </w:style>
  <w:style w:type="character" w:styleId="FootnoteReference">
    <w:name w:val="footnote reference"/>
    <w:uiPriority w:val="99"/>
    <w:semiHidden/>
    <w:rsid w:val="0005144A"/>
    <w:rPr>
      <w:vertAlign w:val="superscript"/>
    </w:rPr>
  </w:style>
  <w:style w:type="character" w:styleId="Hyperlink">
    <w:name w:val="Hyperlink"/>
    <w:rsid w:val="0005144A"/>
    <w:rPr>
      <w:color w:val="0000FF"/>
      <w:u w:val="single"/>
    </w:rPr>
  </w:style>
  <w:style w:type="character" w:customStyle="1" w:styleId="Heading3Char">
    <w:name w:val="Heading 3 Char"/>
    <w:rsid w:val="0005144A"/>
    <w:rPr>
      <w:rFonts w:ascii="Arial" w:hAnsi="Arial" w:cs="Arial"/>
      <w:b/>
      <w:bCs/>
      <w:sz w:val="26"/>
      <w:szCs w:val="26"/>
      <w:lang w:val="fr-FR" w:eastAsia="en-US" w:bidi="ar-SA"/>
    </w:rPr>
  </w:style>
  <w:style w:type="paragraph" w:styleId="BodyText2">
    <w:name w:val="Body Text 2"/>
    <w:basedOn w:val="Normal"/>
    <w:rsid w:val="0005144A"/>
    <w:rPr>
      <w:rFonts w:cs="Arial"/>
      <w:sz w:val="24"/>
      <w:szCs w:val="24"/>
      <w:lang w:val="en-GB"/>
    </w:rPr>
  </w:style>
  <w:style w:type="paragraph" w:styleId="BodyText3">
    <w:name w:val="Body Text 3"/>
    <w:basedOn w:val="Normal"/>
    <w:rsid w:val="0005144A"/>
    <w:rPr>
      <w:rFonts w:cs="Arial"/>
      <w:sz w:val="24"/>
      <w:szCs w:val="24"/>
      <w:u w:val="single"/>
      <w:lang w:val="en-GB"/>
    </w:rPr>
  </w:style>
  <w:style w:type="character" w:styleId="PageNumber">
    <w:name w:val="page number"/>
    <w:basedOn w:val="DefaultParagraphFont"/>
    <w:rsid w:val="0068332A"/>
  </w:style>
  <w:style w:type="table" w:styleId="TableGrid">
    <w:name w:val="Table Grid"/>
    <w:basedOn w:val="TableNormal"/>
    <w:rsid w:val="00BE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22C40"/>
    <w:pPr>
      <w:spacing w:before="100" w:beforeAutospacing="1" w:after="100" w:afterAutospacing="1"/>
    </w:pPr>
    <w:rPr>
      <w:rFonts w:ascii="Times New Roman" w:hAnsi="Times New Roman"/>
      <w:sz w:val="24"/>
      <w:szCs w:val="24"/>
      <w:lang w:val="en-US"/>
    </w:rPr>
  </w:style>
  <w:style w:type="paragraph" w:styleId="BalloonText">
    <w:name w:val="Balloon Text"/>
    <w:basedOn w:val="Normal"/>
    <w:link w:val="BalloonTextChar"/>
    <w:rsid w:val="00987842"/>
    <w:rPr>
      <w:rFonts w:ascii="Lucida Grande" w:hAnsi="Lucida Grande" w:cs="Lucida Grande"/>
      <w:sz w:val="18"/>
      <w:szCs w:val="18"/>
    </w:rPr>
  </w:style>
  <w:style w:type="character" w:customStyle="1" w:styleId="BalloonTextChar">
    <w:name w:val="Balloon Text Char"/>
    <w:link w:val="BalloonText"/>
    <w:rsid w:val="00987842"/>
    <w:rPr>
      <w:rFonts w:ascii="Lucida Grande" w:hAnsi="Lucida Grande" w:cs="Lucida Grande"/>
      <w:sz w:val="18"/>
      <w:szCs w:val="18"/>
      <w:lang w:val="fr-FR"/>
    </w:rPr>
  </w:style>
  <w:style w:type="character" w:customStyle="1" w:styleId="FooterChar">
    <w:name w:val="Footer Char"/>
    <w:link w:val="Footer"/>
    <w:uiPriority w:val="99"/>
    <w:rsid w:val="005F4C11"/>
    <w:rPr>
      <w:rFonts w:ascii="Arial" w:hAnsi="Arial"/>
      <w:lang w:val="fr-FR" w:eastAsia="en-US"/>
    </w:rPr>
  </w:style>
  <w:style w:type="character" w:styleId="CommentReference">
    <w:name w:val="annotation reference"/>
    <w:basedOn w:val="DefaultParagraphFont"/>
    <w:rsid w:val="00967CD7"/>
    <w:rPr>
      <w:sz w:val="16"/>
      <w:szCs w:val="16"/>
    </w:rPr>
  </w:style>
  <w:style w:type="paragraph" w:styleId="CommentText">
    <w:name w:val="annotation text"/>
    <w:basedOn w:val="Normal"/>
    <w:link w:val="CommentTextChar"/>
    <w:rsid w:val="00967CD7"/>
  </w:style>
  <w:style w:type="character" w:customStyle="1" w:styleId="CommentTextChar">
    <w:name w:val="Comment Text Char"/>
    <w:basedOn w:val="DefaultParagraphFont"/>
    <w:link w:val="CommentText"/>
    <w:rsid w:val="00967CD7"/>
    <w:rPr>
      <w:rFonts w:ascii="Arial" w:hAnsi="Arial"/>
      <w:lang w:val="fr-FR" w:eastAsia="en-US"/>
    </w:rPr>
  </w:style>
  <w:style w:type="paragraph" w:styleId="CommentSubject">
    <w:name w:val="annotation subject"/>
    <w:basedOn w:val="CommentText"/>
    <w:next w:val="CommentText"/>
    <w:link w:val="CommentSubjectChar"/>
    <w:rsid w:val="00967CD7"/>
    <w:rPr>
      <w:b/>
      <w:bCs/>
    </w:rPr>
  </w:style>
  <w:style w:type="character" w:customStyle="1" w:styleId="CommentSubjectChar">
    <w:name w:val="Comment Subject Char"/>
    <w:basedOn w:val="CommentTextChar"/>
    <w:link w:val="CommentSubject"/>
    <w:rsid w:val="00967CD7"/>
    <w:rPr>
      <w:rFonts w:ascii="Arial" w:hAnsi="Arial"/>
      <w:b/>
      <w:bCs/>
      <w:lang w:val="fr-FR" w:eastAsia="en-US"/>
    </w:rPr>
  </w:style>
  <w:style w:type="paragraph" w:styleId="Revision">
    <w:name w:val="Revision"/>
    <w:hidden/>
    <w:uiPriority w:val="99"/>
    <w:semiHidden/>
    <w:rsid w:val="00DC1C2E"/>
    <w:rPr>
      <w:rFonts w:ascii="Arial" w:hAnsi="Arial"/>
      <w:lang w:val="fr-FR" w:eastAsia="en-US"/>
    </w:rPr>
  </w:style>
  <w:style w:type="character" w:styleId="UnresolvedMention">
    <w:name w:val="Unresolved Mention"/>
    <w:basedOn w:val="DefaultParagraphFont"/>
    <w:uiPriority w:val="99"/>
    <w:semiHidden/>
    <w:unhideWhenUsed/>
    <w:rsid w:val="00FC40FC"/>
    <w:rPr>
      <w:color w:val="808080"/>
      <w:shd w:val="clear" w:color="auto" w:fill="E6E6E6"/>
    </w:rPr>
  </w:style>
  <w:style w:type="character" w:customStyle="1" w:styleId="Fuentedeprrafopredeter1">
    <w:name w:val="Fuente de párrafo predeter.1"/>
    <w:rsid w:val="0017341A"/>
  </w:style>
  <w:style w:type="paragraph" w:customStyle="1" w:styleId="Prrafodelista1">
    <w:name w:val="Párrafo de lista1"/>
    <w:basedOn w:val="Normal"/>
    <w:rsid w:val="0017341A"/>
    <w:pPr>
      <w:suppressAutoHyphens/>
      <w:autoSpaceDN w:val="0"/>
      <w:spacing w:before="200" w:after="200" w:line="312" w:lineRule="auto"/>
      <w:ind w:left="720"/>
      <w:jc w:val="both"/>
      <w:textAlignment w:val="baseline"/>
    </w:pPr>
    <w:rPr>
      <w:rFonts w:ascii="Times New Roman" w:hAnsi="Times New Roman"/>
      <w:color w:val="000000"/>
      <w:sz w:val="22"/>
      <w:szCs w:val="22"/>
      <w:lang w:val="es-ES" w:eastAsia="es-ES"/>
    </w:rPr>
  </w:style>
  <w:style w:type="character" w:customStyle="1" w:styleId="FootnoteTextChar">
    <w:name w:val="Footnote Text Char"/>
    <w:basedOn w:val="DefaultParagraphFont"/>
    <w:link w:val="FootnoteText"/>
    <w:uiPriority w:val="99"/>
    <w:semiHidden/>
    <w:rsid w:val="0017341A"/>
    <w:rPr>
      <w:rFonts w:ascii="Arial" w:hAnsi="Arial"/>
      <w:lang w:val="fr-FR" w:eastAsia="en-US"/>
    </w:rPr>
  </w:style>
  <w:style w:type="paragraph" w:styleId="BodyText">
    <w:name w:val="Body Text"/>
    <w:basedOn w:val="Normal"/>
    <w:link w:val="BodyTextChar"/>
    <w:rsid w:val="000F2824"/>
    <w:pPr>
      <w:spacing w:after="120"/>
    </w:pPr>
  </w:style>
  <w:style w:type="character" w:customStyle="1" w:styleId="BodyTextChar">
    <w:name w:val="Body Text Char"/>
    <w:basedOn w:val="DefaultParagraphFont"/>
    <w:link w:val="BodyText"/>
    <w:rsid w:val="000F2824"/>
    <w:rPr>
      <w:rFonts w:ascii="Arial"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o.cnmc.es/CNE/accesoInformacionGeneral.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efe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efe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etariat@efet.org" TargetMode="External"/><Relationship Id="rId4" Type="http://schemas.openxmlformats.org/officeDocument/2006/relationships/settings" Target="settings.xml"/><Relationship Id="rId9" Type="http://schemas.openxmlformats.org/officeDocument/2006/relationships/hyperlink" Target="https://www.cnm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2584-DADF-4844-A026-CAD1F614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Order Form</vt:lpstr>
    </vt:vector>
  </TitlesOfParts>
  <Company>Microsoft</Company>
  <LinksUpToDate>false</LinksUpToDate>
  <CharactersWithSpaces>18502</CharactersWithSpaces>
  <SharedDoc>false</SharedDoc>
  <HLinks>
    <vt:vector size="6" baseType="variant">
      <vt:variant>
        <vt:i4>6094882</vt:i4>
      </vt:variant>
      <vt:variant>
        <vt:i4>0</vt:i4>
      </vt:variant>
      <vt:variant>
        <vt:i4>0</vt:i4>
      </vt:variant>
      <vt:variant>
        <vt:i4>5</vt:i4>
      </vt:variant>
      <vt:variant>
        <vt:lpwstr>mailto:m.alfenaar@EFET.org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dc:title>
  <dc:subject/>
  <dc:creator>marianne</dc:creator>
  <cp:keywords/>
  <cp:lastModifiedBy>Daria Nochevnik</cp:lastModifiedBy>
  <cp:revision>5</cp:revision>
  <cp:lastPrinted>2009-03-04T09:37:00Z</cp:lastPrinted>
  <dcterms:created xsi:type="dcterms:W3CDTF">2020-01-30T08:55:00Z</dcterms:created>
  <dcterms:modified xsi:type="dcterms:W3CDTF">2020-01-30T08:57:00Z</dcterms:modified>
</cp:coreProperties>
</file>